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BF" w:rsidRPr="00CD5DAB" w:rsidRDefault="00E006BE" w:rsidP="00A5344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HERBERT MASIYA</w:t>
      </w:r>
      <w:r w:rsidR="00090BBF" w:rsidRPr="00CD5DAB">
        <w:rPr>
          <w:rFonts w:ascii="Times New Roman" w:hAnsi="Times New Roman" w:cs="Times New Roman"/>
          <w:sz w:val="24"/>
          <w:szCs w:val="24"/>
        </w:rPr>
        <w:tab/>
      </w:r>
      <w:r w:rsidR="00090BBF" w:rsidRPr="00CD5DAB">
        <w:rPr>
          <w:rFonts w:ascii="Times New Roman" w:hAnsi="Times New Roman" w:cs="Times New Roman"/>
          <w:sz w:val="24"/>
          <w:szCs w:val="24"/>
        </w:rPr>
        <w:tab/>
      </w:r>
      <w:r w:rsidR="00090BBF" w:rsidRPr="00CD5DAB">
        <w:rPr>
          <w:rFonts w:ascii="Times New Roman" w:hAnsi="Times New Roman" w:cs="Times New Roman"/>
          <w:sz w:val="24"/>
          <w:szCs w:val="24"/>
        </w:rPr>
        <w:tab/>
      </w:r>
      <w:r w:rsidR="00090BBF" w:rsidRPr="00CD5DAB">
        <w:rPr>
          <w:rFonts w:ascii="Times New Roman" w:hAnsi="Times New Roman" w:cs="Times New Roman"/>
          <w:sz w:val="24"/>
          <w:szCs w:val="24"/>
        </w:rPr>
        <w:tab/>
      </w:r>
      <w:r w:rsidR="00090BBF" w:rsidRPr="00CD5DAB">
        <w:rPr>
          <w:rFonts w:ascii="Times New Roman" w:hAnsi="Times New Roman" w:cs="Times New Roman"/>
          <w:sz w:val="24"/>
          <w:szCs w:val="24"/>
        </w:rPr>
        <w:tab/>
      </w:r>
      <w:r w:rsidR="00090BBF" w:rsidRPr="00CD5DAB">
        <w:rPr>
          <w:rFonts w:ascii="Times New Roman" w:hAnsi="Times New Roman" w:cs="Times New Roman"/>
          <w:sz w:val="24"/>
          <w:szCs w:val="24"/>
        </w:rPr>
        <w:tab/>
      </w:r>
    </w:p>
    <w:p w:rsidR="00090BBF" w:rsidRDefault="00820040"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820040" w:rsidRDefault="00820040"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DISTRICT DEVELOPMENT FUND </w:t>
      </w:r>
    </w:p>
    <w:p w:rsidR="00820040" w:rsidRDefault="00820040"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090BBF" w:rsidRDefault="00820040"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KEN</w:t>
      </w:r>
      <w:r w:rsidR="000C6EB5">
        <w:rPr>
          <w:rFonts w:ascii="Times New Roman" w:hAnsi="Times New Roman" w:cs="Times New Roman"/>
          <w:sz w:val="24"/>
          <w:szCs w:val="24"/>
        </w:rPr>
        <w:t>N</w:t>
      </w:r>
      <w:r>
        <w:rPr>
          <w:rFonts w:ascii="Times New Roman" w:hAnsi="Times New Roman" w:cs="Times New Roman"/>
          <w:sz w:val="24"/>
          <w:szCs w:val="24"/>
        </w:rPr>
        <w:t>EDY MARIMBE</w:t>
      </w:r>
    </w:p>
    <w:p w:rsidR="00090BBF" w:rsidRDefault="00090BBF" w:rsidP="00090BBF">
      <w:pPr>
        <w:spacing w:after="0" w:line="240" w:lineRule="auto"/>
        <w:rPr>
          <w:rFonts w:ascii="Times New Roman" w:hAnsi="Times New Roman" w:cs="Times New Roman"/>
          <w:sz w:val="24"/>
          <w:szCs w:val="24"/>
        </w:rPr>
      </w:pPr>
    </w:p>
    <w:p w:rsidR="00C37FEB" w:rsidRDefault="00C37FEB" w:rsidP="00090BBF">
      <w:pPr>
        <w:spacing w:after="0" w:line="240" w:lineRule="auto"/>
        <w:rPr>
          <w:rFonts w:ascii="Times New Roman" w:hAnsi="Times New Roman" w:cs="Times New Roman"/>
          <w:sz w:val="24"/>
          <w:szCs w:val="24"/>
        </w:rPr>
      </w:pPr>
    </w:p>
    <w:p w:rsidR="00090BBF" w:rsidRDefault="00090BBF"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90BBF" w:rsidRDefault="00090BBF"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CHAREWA J</w:t>
      </w:r>
    </w:p>
    <w:p w:rsidR="00090BBF" w:rsidRPr="00CD5DAB" w:rsidRDefault="00090BBF"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HARARE, 2</w:t>
      </w:r>
      <w:r w:rsidR="0009252A">
        <w:rPr>
          <w:rFonts w:ascii="Times New Roman" w:hAnsi="Times New Roman" w:cs="Times New Roman"/>
          <w:sz w:val="24"/>
          <w:szCs w:val="24"/>
        </w:rPr>
        <w:t>1 January 2016</w:t>
      </w:r>
      <w:r>
        <w:rPr>
          <w:rFonts w:ascii="Times New Roman" w:hAnsi="Times New Roman" w:cs="Times New Roman"/>
          <w:sz w:val="24"/>
          <w:szCs w:val="24"/>
        </w:rPr>
        <w:t xml:space="preserve"> &amp;</w:t>
      </w:r>
      <w:r w:rsidR="00A5344D">
        <w:rPr>
          <w:rFonts w:ascii="Times New Roman" w:hAnsi="Times New Roman" w:cs="Times New Roman"/>
          <w:sz w:val="24"/>
          <w:szCs w:val="24"/>
        </w:rPr>
        <w:t xml:space="preserve"> </w:t>
      </w:r>
      <w:r w:rsidR="0076569D">
        <w:rPr>
          <w:rFonts w:ascii="Times New Roman" w:hAnsi="Times New Roman" w:cs="Times New Roman"/>
          <w:sz w:val="24"/>
          <w:szCs w:val="24"/>
        </w:rPr>
        <w:t>17 February</w:t>
      </w:r>
      <w:r w:rsidR="0009252A">
        <w:rPr>
          <w:rFonts w:ascii="Times New Roman" w:hAnsi="Times New Roman" w:cs="Times New Roman"/>
          <w:sz w:val="24"/>
          <w:szCs w:val="24"/>
        </w:rPr>
        <w:t xml:space="preserve"> 2016</w:t>
      </w:r>
      <w:r w:rsidRPr="00CD5DAB">
        <w:rPr>
          <w:rFonts w:ascii="Times New Roman" w:hAnsi="Times New Roman" w:cs="Times New Roman"/>
          <w:sz w:val="24"/>
          <w:szCs w:val="24"/>
        </w:rPr>
        <w:tab/>
      </w:r>
      <w:r w:rsidRPr="00CD5DAB">
        <w:rPr>
          <w:rFonts w:ascii="Times New Roman" w:hAnsi="Times New Roman" w:cs="Times New Roman"/>
          <w:sz w:val="24"/>
          <w:szCs w:val="24"/>
        </w:rPr>
        <w:tab/>
      </w:r>
      <w:r w:rsidRPr="00CD5DAB">
        <w:rPr>
          <w:rFonts w:ascii="Times New Roman" w:hAnsi="Times New Roman" w:cs="Times New Roman"/>
          <w:sz w:val="24"/>
          <w:szCs w:val="24"/>
        </w:rPr>
        <w:tab/>
      </w:r>
    </w:p>
    <w:p w:rsidR="00090BBF" w:rsidRPr="00CD5DAB" w:rsidRDefault="00090BBF" w:rsidP="00C37FEB">
      <w:pPr>
        <w:spacing w:after="0" w:line="240" w:lineRule="auto"/>
        <w:rPr>
          <w:rFonts w:ascii="Times New Roman" w:hAnsi="Times New Roman" w:cs="Times New Roman"/>
          <w:sz w:val="24"/>
          <w:szCs w:val="24"/>
        </w:rPr>
      </w:pPr>
    </w:p>
    <w:p w:rsidR="00090BBF" w:rsidRDefault="00090BBF" w:rsidP="00C37FEB">
      <w:pPr>
        <w:spacing w:line="240" w:lineRule="auto"/>
        <w:rPr>
          <w:rFonts w:ascii="Times New Roman" w:hAnsi="Times New Roman" w:cs="Times New Roman"/>
          <w:sz w:val="24"/>
          <w:szCs w:val="24"/>
        </w:rPr>
      </w:pPr>
    </w:p>
    <w:p w:rsidR="00090BBF" w:rsidRDefault="004E6484" w:rsidP="00C37FEB">
      <w:pPr>
        <w:spacing w:after="0" w:line="240" w:lineRule="auto"/>
        <w:rPr>
          <w:rFonts w:ascii="Times New Roman" w:hAnsi="Times New Roman" w:cs="Times New Roman"/>
          <w:b/>
          <w:sz w:val="24"/>
          <w:szCs w:val="24"/>
        </w:rPr>
      </w:pPr>
      <w:r>
        <w:rPr>
          <w:rFonts w:ascii="Times New Roman" w:hAnsi="Times New Roman" w:cs="Times New Roman"/>
          <w:b/>
          <w:sz w:val="24"/>
          <w:szCs w:val="24"/>
        </w:rPr>
        <w:t>SPECIAL PLEA</w:t>
      </w:r>
    </w:p>
    <w:p w:rsidR="00A5344D" w:rsidRPr="00A5344D" w:rsidRDefault="00A5344D" w:rsidP="00C37FEB">
      <w:pPr>
        <w:spacing w:after="0" w:line="240" w:lineRule="auto"/>
        <w:ind w:firstLine="720"/>
        <w:rPr>
          <w:rFonts w:ascii="Times New Roman" w:hAnsi="Times New Roman" w:cs="Times New Roman"/>
          <w:b/>
          <w:sz w:val="24"/>
          <w:szCs w:val="24"/>
        </w:rPr>
      </w:pPr>
    </w:p>
    <w:p w:rsidR="00A5344D" w:rsidRDefault="00A5344D" w:rsidP="00C37FEB">
      <w:pPr>
        <w:spacing w:after="0" w:line="240" w:lineRule="auto"/>
        <w:rPr>
          <w:rFonts w:ascii="Times New Roman" w:hAnsi="Times New Roman" w:cs="Times New Roman"/>
          <w:i/>
          <w:sz w:val="24"/>
          <w:szCs w:val="24"/>
        </w:rPr>
      </w:pPr>
    </w:p>
    <w:p w:rsidR="00090BBF" w:rsidRPr="00CD5DAB" w:rsidRDefault="0009252A" w:rsidP="00C37FE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 </w:t>
      </w:r>
      <w:r w:rsidR="00E006BE">
        <w:rPr>
          <w:rFonts w:ascii="Times New Roman" w:hAnsi="Times New Roman" w:cs="Times New Roman"/>
          <w:i/>
          <w:sz w:val="24"/>
          <w:szCs w:val="24"/>
        </w:rPr>
        <w:t>K Mudzimbaseka</w:t>
      </w:r>
      <w:r w:rsidR="00090BBF">
        <w:rPr>
          <w:rFonts w:ascii="Times New Roman" w:hAnsi="Times New Roman" w:cs="Times New Roman"/>
          <w:i/>
          <w:sz w:val="24"/>
          <w:szCs w:val="24"/>
        </w:rPr>
        <w:t>,</w:t>
      </w:r>
      <w:r w:rsidR="00090BBF" w:rsidRPr="00CD5DAB">
        <w:rPr>
          <w:rFonts w:ascii="Times New Roman" w:hAnsi="Times New Roman" w:cs="Times New Roman"/>
          <w:sz w:val="24"/>
          <w:szCs w:val="24"/>
        </w:rPr>
        <w:t xml:space="preserve"> for </w:t>
      </w:r>
      <w:r w:rsidR="00090BBF">
        <w:rPr>
          <w:rFonts w:ascii="Times New Roman" w:hAnsi="Times New Roman" w:cs="Times New Roman"/>
          <w:sz w:val="24"/>
          <w:szCs w:val="24"/>
        </w:rPr>
        <w:t xml:space="preserve">the </w:t>
      </w:r>
      <w:r w:rsidR="00E006BE">
        <w:rPr>
          <w:rFonts w:ascii="Times New Roman" w:hAnsi="Times New Roman" w:cs="Times New Roman"/>
          <w:sz w:val="24"/>
          <w:szCs w:val="24"/>
        </w:rPr>
        <w:t>plaintiff</w:t>
      </w:r>
    </w:p>
    <w:p w:rsidR="00843C2C" w:rsidRDefault="00E006BE" w:rsidP="00C37FEB">
      <w:pPr>
        <w:spacing w:after="0" w:line="240" w:lineRule="auto"/>
        <w:rPr>
          <w:rFonts w:ascii="Times New Roman" w:hAnsi="Times New Roman" w:cs="Times New Roman"/>
          <w:sz w:val="24"/>
          <w:szCs w:val="24"/>
        </w:rPr>
      </w:pPr>
      <w:r>
        <w:rPr>
          <w:rFonts w:ascii="Times New Roman" w:hAnsi="Times New Roman" w:cs="Times New Roman"/>
          <w:i/>
          <w:sz w:val="24"/>
          <w:szCs w:val="24"/>
        </w:rPr>
        <w:t>H. Magadure</w:t>
      </w:r>
      <w:r w:rsidR="00090BBF" w:rsidRPr="007B6BCE">
        <w:rPr>
          <w:rFonts w:ascii="Times New Roman" w:hAnsi="Times New Roman" w:cs="Times New Roman"/>
          <w:sz w:val="24"/>
          <w:szCs w:val="24"/>
        </w:rPr>
        <w:t xml:space="preserve">, for the </w:t>
      </w:r>
      <w:r>
        <w:rPr>
          <w:rFonts w:ascii="Times New Roman" w:hAnsi="Times New Roman" w:cs="Times New Roman"/>
          <w:sz w:val="24"/>
          <w:szCs w:val="24"/>
        </w:rPr>
        <w:t>defendant</w:t>
      </w:r>
      <w:r w:rsidR="008D3FEA">
        <w:rPr>
          <w:rFonts w:ascii="Times New Roman" w:hAnsi="Times New Roman" w:cs="Times New Roman"/>
          <w:sz w:val="24"/>
          <w:szCs w:val="24"/>
        </w:rPr>
        <w:t>s</w:t>
      </w:r>
    </w:p>
    <w:p w:rsidR="00090BBF" w:rsidRPr="00CD5DAB" w:rsidRDefault="00090BBF" w:rsidP="00090BBF">
      <w:pPr>
        <w:spacing w:after="0" w:line="240" w:lineRule="auto"/>
        <w:rPr>
          <w:rFonts w:ascii="Times New Roman" w:hAnsi="Times New Roman" w:cs="Times New Roman"/>
          <w:sz w:val="24"/>
          <w:szCs w:val="24"/>
        </w:rPr>
      </w:pPr>
    </w:p>
    <w:p w:rsidR="00090BBF" w:rsidRPr="00CD5DAB" w:rsidRDefault="00090BBF" w:rsidP="00090BBF">
      <w:pPr>
        <w:spacing w:after="0" w:line="240" w:lineRule="auto"/>
        <w:rPr>
          <w:rFonts w:ascii="Times New Roman" w:hAnsi="Times New Roman" w:cs="Times New Roman"/>
          <w:sz w:val="24"/>
          <w:szCs w:val="24"/>
        </w:rPr>
      </w:pPr>
    </w:p>
    <w:p w:rsidR="00E006BE" w:rsidRDefault="00191489" w:rsidP="00EE7B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CHAREWA J: P</w:t>
      </w:r>
      <w:r w:rsidR="00090BBF" w:rsidRPr="00CD5DAB">
        <w:rPr>
          <w:rFonts w:ascii="Times New Roman" w:hAnsi="Times New Roman" w:cs="Times New Roman"/>
          <w:sz w:val="24"/>
          <w:szCs w:val="24"/>
        </w:rPr>
        <w:t>laintiff</w:t>
      </w:r>
      <w:r w:rsidR="00090BBF">
        <w:rPr>
          <w:rFonts w:ascii="Times New Roman" w:hAnsi="Times New Roman" w:cs="Times New Roman"/>
          <w:sz w:val="24"/>
          <w:szCs w:val="24"/>
        </w:rPr>
        <w:t xml:space="preserve">, </w:t>
      </w:r>
      <w:r w:rsidR="00E006BE">
        <w:rPr>
          <w:rFonts w:ascii="Times New Roman" w:hAnsi="Times New Roman" w:cs="Times New Roman"/>
          <w:sz w:val="24"/>
          <w:szCs w:val="24"/>
        </w:rPr>
        <w:t>issued summons against the defendants claiming, jointly and severally, the one paying the other to be absolved, payment o</w:t>
      </w:r>
      <w:r w:rsidR="00983B07">
        <w:rPr>
          <w:rFonts w:ascii="Times New Roman" w:hAnsi="Times New Roman" w:cs="Times New Roman"/>
          <w:sz w:val="24"/>
          <w:szCs w:val="24"/>
        </w:rPr>
        <w:t>f USD250 000</w:t>
      </w:r>
      <w:r w:rsidR="00C37FEB">
        <w:rPr>
          <w:rFonts w:ascii="Times New Roman" w:hAnsi="Times New Roman" w:cs="Times New Roman"/>
          <w:sz w:val="24"/>
          <w:szCs w:val="24"/>
        </w:rPr>
        <w:t>-00</w:t>
      </w:r>
      <w:r w:rsidR="00983B07">
        <w:rPr>
          <w:rFonts w:ascii="Times New Roman" w:hAnsi="Times New Roman" w:cs="Times New Roman"/>
          <w:sz w:val="24"/>
          <w:szCs w:val="24"/>
        </w:rPr>
        <w:t xml:space="preserve">, being damages </w:t>
      </w:r>
      <w:r w:rsidR="00E006BE">
        <w:rPr>
          <w:rFonts w:ascii="Times New Roman" w:hAnsi="Times New Roman" w:cs="Times New Roman"/>
          <w:sz w:val="24"/>
          <w:szCs w:val="24"/>
        </w:rPr>
        <w:t>arising out of a road accident as a result of which his wife died</w:t>
      </w:r>
      <w:r w:rsidR="008D3FEA">
        <w:rPr>
          <w:rFonts w:ascii="Times New Roman" w:hAnsi="Times New Roman" w:cs="Times New Roman"/>
          <w:sz w:val="24"/>
          <w:szCs w:val="24"/>
        </w:rPr>
        <w:t>, interest at the prescribed rate from date of summons and costs on the higher scale</w:t>
      </w:r>
      <w:r w:rsidR="00E006BE">
        <w:rPr>
          <w:rFonts w:ascii="Times New Roman" w:hAnsi="Times New Roman" w:cs="Times New Roman"/>
          <w:sz w:val="24"/>
          <w:szCs w:val="24"/>
        </w:rPr>
        <w:t xml:space="preserve">. </w:t>
      </w:r>
    </w:p>
    <w:p w:rsidR="00B863E0" w:rsidRDefault="00E006BE" w:rsidP="00EE7B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accident occurred on 16 August 201</w:t>
      </w:r>
      <w:r w:rsidR="008D3FEA">
        <w:rPr>
          <w:rFonts w:ascii="Times New Roman" w:hAnsi="Times New Roman" w:cs="Times New Roman"/>
          <w:sz w:val="24"/>
          <w:szCs w:val="24"/>
        </w:rPr>
        <w:t xml:space="preserve">1, and </w:t>
      </w:r>
      <w:r>
        <w:rPr>
          <w:rFonts w:ascii="Times New Roman" w:hAnsi="Times New Roman" w:cs="Times New Roman"/>
          <w:sz w:val="24"/>
          <w:szCs w:val="24"/>
        </w:rPr>
        <w:t xml:space="preserve">deceased </w:t>
      </w:r>
      <w:r w:rsidR="008D3FEA">
        <w:rPr>
          <w:rFonts w:ascii="Times New Roman" w:hAnsi="Times New Roman" w:cs="Times New Roman"/>
          <w:sz w:val="24"/>
          <w:szCs w:val="24"/>
        </w:rPr>
        <w:t xml:space="preserve">died on the </w:t>
      </w:r>
      <w:r w:rsidR="00464C26">
        <w:rPr>
          <w:rFonts w:ascii="Times New Roman" w:hAnsi="Times New Roman" w:cs="Times New Roman"/>
          <w:sz w:val="24"/>
          <w:szCs w:val="24"/>
        </w:rPr>
        <w:t>same day</w:t>
      </w:r>
      <w:r w:rsidR="008D3FEA">
        <w:rPr>
          <w:rFonts w:ascii="Times New Roman" w:hAnsi="Times New Roman" w:cs="Times New Roman"/>
          <w:sz w:val="24"/>
          <w:szCs w:val="24"/>
        </w:rPr>
        <w:t xml:space="preserve">. </w:t>
      </w:r>
      <w:r w:rsidR="00A31FF1">
        <w:rPr>
          <w:rFonts w:ascii="Times New Roman" w:hAnsi="Times New Roman" w:cs="Times New Roman"/>
          <w:sz w:val="24"/>
          <w:szCs w:val="24"/>
        </w:rPr>
        <w:t>The second d</w:t>
      </w:r>
      <w:r w:rsidR="008D3FEA">
        <w:rPr>
          <w:rFonts w:ascii="Times New Roman" w:hAnsi="Times New Roman" w:cs="Times New Roman"/>
          <w:sz w:val="24"/>
          <w:szCs w:val="24"/>
        </w:rPr>
        <w:t xml:space="preserve">efendant was convicted </w:t>
      </w:r>
      <w:r w:rsidR="000C6EB5">
        <w:rPr>
          <w:rFonts w:ascii="Times New Roman" w:hAnsi="Times New Roman" w:cs="Times New Roman"/>
          <w:sz w:val="24"/>
          <w:szCs w:val="24"/>
        </w:rPr>
        <w:t xml:space="preserve">of </w:t>
      </w:r>
      <w:r w:rsidR="008D3FEA">
        <w:rPr>
          <w:rFonts w:ascii="Times New Roman" w:hAnsi="Times New Roman" w:cs="Times New Roman"/>
          <w:sz w:val="24"/>
          <w:szCs w:val="24"/>
        </w:rPr>
        <w:t>and sente</w:t>
      </w:r>
      <w:r w:rsidR="00B863E0">
        <w:rPr>
          <w:rFonts w:ascii="Times New Roman" w:hAnsi="Times New Roman" w:cs="Times New Roman"/>
          <w:sz w:val="24"/>
          <w:szCs w:val="24"/>
        </w:rPr>
        <w:t>nced for culpable homicide on 5</w:t>
      </w:r>
      <w:r w:rsidR="008D3FEA">
        <w:rPr>
          <w:rFonts w:ascii="Times New Roman" w:hAnsi="Times New Roman" w:cs="Times New Roman"/>
          <w:sz w:val="24"/>
          <w:szCs w:val="24"/>
        </w:rPr>
        <w:t xml:space="preserve"> September 2012</w:t>
      </w:r>
      <w:r w:rsidR="00B863E0">
        <w:rPr>
          <w:rFonts w:ascii="Times New Roman" w:hAnsi="Times New Roman" w:cs="Times New Roman"/>
          <w:sz w:val="24"/>
          <w:szCs w:val="24"/>
        </w:rPr>
        <w:t xml:space="preserve">. On 12 September 2013, </w:t>
      </w:r>
      <w:r w:rsidR="00A31FF1">
        <w:rPr>
          <w:rFonts w:ascii="Times New Roman" w:hAnsi="Times New Roman" w:cs="Times New Roman"/>
          <w:sz w:val="24"/>
          <w:szCs w:val="24"/>
        </w:rPr>
        <w:t xml:space="preserve">the </w:t>
      </w:r>
      <w:r w:rsidR="00B863E0">
        <w:rPr>
          <w:rFonts w:ascii="Times New Roman" w:hAnsi="Times New Roman" w:cs="Times New Roman"/>
          <w:sz w:val="24"/>
          <w:szCs w:val="24"/>
        </w:rPr>
        <w:t xml:space="preserve">plaintiff notified </w:t>
      </w:r>
      <w:r w:rsidR="00A31FF1">
        <w:rPr>
          <w:rFonts w:ascii="Times New Roman" w:hAnsi="Times New Roman" w:cs="Times New Roman"/>
          <w:sz w:val="24"/>
          <w:szCs w:val="24"/>
        </w:rPr>
        <w:t>the first d</w:t>
      </w:r>
      <w:r w:rsidR="00B863E0">
        <w:rPr>
          <w:rFonts w:ascii="Times New Roman" w:hAnsi="Times New Roman" w:cs="Times New Roman"/>
          <w:sz w:val="24"/>
          <w:szCs w:val="24"/>
        </w:rPr>
        <w:t>efendant of his intention to sue for damages. Summons was eventually issued on 3 October 2014</w:t>
      </w:r>
      <w:r w:rsidR="005A54F8">
        <w:rPr>
          <w:rFonts w:ascii="Times New Roman" w:hAnsi="Times New Roman" w:cs="Times New Roman"/>
          <w:sz w:val="24"/>
          <w:szCs w:val="24"/>
        </w:rPr>
        <w:t xml:space="preserve"> and served on 9 October 2014</w:t>
      </w:r>
      <w:r w:rsidR="00B863E0">
        <w:rPr>
          <w:rFonts w:ascii="Times New Roman" w:hAnsi="Times New Roman" w:cs="Times New Roman"/>
          <w:sz w:val="24"/>
          <w:szCs w:val="24"/>
        </w:rPr>
        <w:t>.</w:t>
      </w:r>
    </w:p>
    <w:p w:rsidR="00B863E0" w:rsidRDefault="00672BAD" w:rsidP="00EE7B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w:t>
      </w:r>
      <w:r w:rsidR="00B863E0">
        <w:rPr>
          <w:rFonts w:ascii="Times New Roman" w:hAnsi="Times New Roman" w:cs="Times New Roman"/>
          <w:sz w:val="24"/>
          <w:szCs w:val="24"/>
        </w:rPr>
        <w:t>efendants raised the following special plea:</w:t>
      </w:r>
    </w:p>
    <w:p w:rsidR="00B863E0" w:rsidRDefault="00672BAD" w:rsidP="00B863E0">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first</w:t>
      </w:r>
      <w:r w:rsidR="00B863E0">
        <w:rPr>
          <w:rFonts w:ascii="Times New Roman" w:hAnsi="Times New Roman" w:cs="Times New Roman"/>
          <w:sz w:val="24"/>
          <w:szCs w:val="24"/>
        </w:rPr>
        <w:t xml:space="preserve"> defendant is not a legal </w:t>
      </w:r>
      <w:r w:rsidR="00B863E0" w:rsidRPr="00464C26">
        <w:rPr>
          <w:rFonts w:ascii="Times New Roman" w:hAnsi="Times New Roman" w:cs="Times New Roman"/>
          <w:i/>
          <w:sz w:val="24"/>
          <w:szCs w:val="24"/>
        </w:rPr>
        <w:t>persona</w:t>
      </w:r>
      <w:r w:rsidR="00B863E0">
        <w:rPr>
          <w:rFonts w:ascii="Times New Roman" w:hAnsi="Times New Roman" w:cs="Times New Roman"/>
          <w:sz w:val="24"/>
          <w:szCs w:val="24"/>
        </w:rPr>
        <w:t xml:space="preserve"> capable of suing and being sued. Therefore </w:t>
      </w:r>
      <w:r>
        <w:rPr>
          <w:rFonts w:ascii="Times New Roman" w:hAnsi="Times New Roman" w:cs="Times New Roman"/>
          <w:sz w:val="24"/>
          <w:szCs w:val="24"/>
        </w:rPr>
        <w:t xml:space="preserve">the </w:t>
      </w:r>
      <w:r w:rsidR="00B863E0">
        <w:rPr>
          <w:rFonts w:ascii="Times New Roman" w:hAnsi="Times New Roman" w:cs="Times New Roman"/>
          <w:sz w:val="24"/>
          <w:szCs w:val="24"/>
        </w:rPr>
        <w:t xml:space="preserve">plaintiff’s citation of </w:t>
      </w:r>
      <w:r>
        <w:rPr>
          <w:rFonts w:ascii="Times New Roman" w:hAnsi="Times New Roman" w:cs="Times New Roman"/>
          <w:sz w:val="24"/>
          <w:szCs w:val="24"/>
        </w:rPr>
        <w:t>the first d</w:t>
      </w:r>
      <w:r w:rsidR="00B863E0">
        <w:rPr>
          <w:rFonts w:ascii="Times New Roman" w:hAnsi="Times New Roman" w:cs="Times New Roman"/>
          <w:sz w:val="24"/>
          <w:szCs w:val="24"/>
        </w:rPr>
        <w:t>efendant is improper as in terms of s 3</w:t>
      </w:r>
      <w:r>
        <w:rPr>
          <w:rFonts w:ascii="Times New Roman" w:hAnsi="Times New Roman" w:cs="Times New Roman"/>
          <w:sz w:val="24"/>
          <w:szCs w:val="24"/>
        </w:rPr>
        <w:t xml:space="preserve"> </w:t>
      </w:r>
      <w:r w:rsidR="00B863E0">
        <w:rPr>
          <w:rFonts w:ascii="Times New Roman" w:hAnsi="Times New Roman" w:cs="Times New Roman"/>
          <w:sz w:val="24"/>
          <w:szCs w:val="24"/>
        </w:rPr>
        <w:t>(2) of the District Development Fund Act [</w:t>
      </w:r>
      <w:r w:rsidR="00B863E0" w:rsidRPr="00AF6A88">
        <w:rPr>
          <w:rFonts w:ascii="Times New Roman" w:hAnsi="Times New Roman" w:cs="Times New Roman"/>
          <w:i/>
          <w:sz w:val="24"/>
          <w:szCs w:val="24"/>
        </w:rPr>
        <w:t>C</w:t>
      </w:r>
      <w:r w:rsidR="00AF6A88">
        <w:rPr>
          <w:rFonts w:ascii="Times New Roman" w:hAnsi="Times New Roman" w:cs="Times New Roman"/>
          <w:i/>
          <w:sz w:val="24"/>
          <w:szCs w:val="24"/>
        </w:rPr>
        <w:t>hapter</w:t>
      </w:r>
      <w:r w:rsidR="00B863E0" w:rsidRPr="00AF6A88">
        <w:rPr>
          <w:rFonts w:ascii="Times New Roman" w:hAnsi="Times New Roman" w:cs="Times New Roman"/>
          <w:i/>
          <w:sz w:val="24"/>
          <w:szCs w:val="24"/>
        </w:rPr>
        <w:t xml:space="preserve"> 29:06</w:t>
      </w:r>
      <w:r w:rsidR="00B863E0">
        <w:rPr>
          <w:rFonts w:ascii="Times New Roman" w:hAnsi="Times New Roman" w:cs="Times New Roman"/>
          <w:sz w:val="24"/>
          <w:szCs w:val="24"/>
        </w:rPr>
        <w:t>], plaintiff ought to have cited the Trustee of the Fund.</w:t>
      </w:r>
    </w:p>
    <w:p w:rsidR="00B863E0" w:rsidRDefault="00B863E0" w:rsidP="00B863E0">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citation of </w:t>
      </w:r>
      <w:r w:rsidR="00AF6A88">
        <w:rPr>
          <w:rFonts w:ascii="Times New Roman" w:hAnsi="Times New Roman" w:cs="Times New Roman"/>
          <w:sz w:val="24"/>
          <w:szCs w:val="24"/>
        </w:rPr>
        <w:t xml:space="preserve">the second </w:t>
      </w:r>
      <w:r>
        <w:rPr>
          <w:rFonts w:ascii="Times New Roman" w:hAnsi="Times New Roman" w:cs="Times New Roman"/>
          <w:sz w:val="24"/>
          <w:szCs w:val="24"/>
        </w:rPr>
        <w:t>defendant is improper in terms of s 4 of the State Liabilities Act, since he is being sued in his official capacity, rather than his personal capacity.</w:t>
      </w:r>
    </w:p>
    <w:p w:rsidR="00A232BE" w:rsidRDefault="00B863E0" w:rsidP="00B863E0">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matter has prescribed, the cause of action having arisen on the date of accident or death of the deceased on 16 August 2011</w:t>
      </w:r>
      <w:r w:rsidR="00A232BE">
        <w:rPr>
          <w:rFonts w:ascii="Times New Roman" w:hAnsi="Times New Roman" w:cs="Times New Roman"/>
          <w:sz w:val="24"/>
          <w:szCs w:val="24"/>
        </w:rPr>
        <w:t xml:space="preserve"> and summons having been issued and served </w:t>
      </w:r>
      <w:r w:rsidR="00464C26">
        <w:rPr>
          <w:rFonts w:ascii="Times New Roman" w:hAnsi="Times New Roman" w:cs="Times New Roman"/>
          <w:sz w:val="24"/>
          <w:szCs w:val="24"/>
        </w:rPr>
        <w:t>more than three years later</w:t>
      </w:r>
      <w:r w:rsidR="00A232BE">
        <w:rPr>
          <w:rFonts w:ascii="Times New Roman" w:hAnsi="Times New Roman" w:cs="Times New Roman"/>
          <w:sz w:val="24"/>
          <w:szCs w:val="24"/>
        </w:rPr>
        <w:t>.</w:t>
      </w:r>
    </w:p>
    <w:p w:rsidR="00A232BE" w:rsidRDefault="00A232BE"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reply to the special plea, apart from restating his position in detail refuting the </w:t>
      </w:r>
      <w:r w:rsidR="000C6EB5">
        <w:rPr>
          <w:rFonts w:ascii="Times New Roman" w:hAnsi="Times New Roman" w:cs="Times New Roman"/>
          <w:sz w:val="24"/>
          <w:szCs w:val="24"/>
        </w:rPr>
        <w:t>issues pleaded</w:t>
      </w:r>
      <w:r>
        <w:rPr>
          <w:rFonts w:ascii="Times New Roman" w:hAnsi="Times New Roman" w:cs="Times New Roman"/>
          <w:sz w:val="24"/>
          <w:szCs w:val="24"/>
        </w:rPr>
        <w:t xml:space="preserve">, </w:t>
      </w:r>
      <w:r w:rsidR="00983B07">
        <w:rPr>
          <w:rFonts w:ascii="Times New Roman" w:hAnsi="Times New Roman" w:cs="Times New Roman"/>
          <w:sz w:val="24"/>
          <w:szCs w:val="24"/>
        </w:rPr>
        <w:t xml:space="preserve">plaintiff </w:t>
      </w:r>
      <w:r>
        <w:rPr>
          <w:rFonts w:ascii="Times New Roman" w:hAnsi="Times New Roman" w:cs="Times New Roman"/>
          <w:sz w:val="24"/>
          <w:szCs w:val="24"/>
        </w:rPr>
        <w:t xml:space="preserve">raised a point </w:t>
      </w:r>
      <w:r w:rsidRPr="00D84833">
        <w:rPr>
          <w:rFonts w:ascii="Times New Roman" w:hAnsi="Times New Roman" w:cs="Times New Roman"/>
          <w:sz w:val="24"/>
          <w:szCs w:val="24"/>
        </w:rPr>
        <w:t>in</w:t>
      </w:r>
      <w:r w:rsidRPr="00A232BE">
        <w:rPr>
          <w:rFonts w:ascii="Times New Roman" w:hAnsi="Times New Roman" w:cs="Times New Roman"/>
          <w:i/>
          <w:sz w:val="24"/>
          <w:szCs w:val="24"/>
        </w:rPr>
        <w:t xml:space="preserve"> limine</w:t>
      </w:r>
      <w:r>
        <w:rPr>
          <w:rFonts w:ascii="Times New Roman" w:hAnsi="Times New Roman" w:cs="Times New Roman"/>
          <w:i/>
          <w:sz w:val="24"/>
          <w:szCs w:val="24"/>
        </w:rPr>
        <w:t xml:space="preserve">: </w:t>
      </w:r>
      <w:r>
        <w:rPr>
          <w:rFonts w:ascii="Times New Roman" w:hAnsi="Times New Roman" w:cs="Times New Roman"/>
          <w:sz w:val="24"/>
          <w:szCs w:val="24"/>
        </w:rPr>
        <w:t xml:space="preserve">that the special plea did not conform to the rules as it did not state that it was a “special plea in bar”. Clearly, he was </w:t>
      </w:r>
      <w:r w:rsidR="005D43D8">
        <w:rPr>
          <w:rFonts w:ascii="Times New Roman" w:hAnsi="Times New Roman" w:cs="Times New Roman"/>
          <w:sz w:val="24"/>
          <w:szCs w:val="24"/>
        </w:rPr>
        <w:t xml:space="preserve">wrong and properly </w:t>
      </w:r>
      <w:r w:rsidR="005D43D8" w:rsidRPr="00A232BE">
        <w:rPr>
          <w:rFonts w:ascii="Times New Roman" w:hAnsi="Times New Roman" w:cs="Times New Roman"/>
          <w:sz w:val="24"/>
          <w:szCs w:val="24"/>
        </w:rPr>
        <w:t xml:space="preserve">abandoned </w:t>
      </w:r>
      <w:r w:rsidR="00983B07">
        <w:rPr>
          <w:rFonts w:ascii="Times New Roman" w:hAnsi="Times New Roman" w:cs="Times New Roman"/>
          <w:sz w:val="24"/>
          <w:szCs w:val="24"/>
        </w:rPr>
        <w:t>this</w:t>
      </w:r>
      <w:r w:rsidR="005D43D8">
        <w:rPr>
          <w:rFonts w:ascii="Times New Roman" w:hAnsi="Times New Roman" w:cs="Times New Roman"/>
          <w:sz w:val="24"/>
          <w:szCs w:val="24"/>
        </w:rPr>
        <w:t xml:space="preserve"> argument </w:t>
      </w:r>
      <w:r w:rsidR="005D43D8" w:rsidRPr="00A232BE">
        <w:rPr>
          <w:rFonts w:ascii="Times New Roman" w:hAnsi="Times New Roman" w:cs="Times New Roman"/>
          <w:sz w:val="24"/>
          <w:szCs w:val="24"/>
        </w:rPr>
        <w:t>at the hearing</w:t>
      </w:r>
      <w:r w:rsidR="00464C26">
        <w:rPr>
          <w:rFonts w:ascii="Times New Roman" w:hAnsi="Times New Roman" w:cs="Times New Roman"/>
          <w:sz w:val="24"/>
          <w:szCs w:val="24"/>
        </w:rPr>
        <w:t xml:space="preserve">. </w:t>
      </w:r>
      <w:r>
        <w:rPr>
          <w:rFonts w:ascii="Times New Roman" w:hAnsi="Times New Roman" w:cs="Times New Roman"/>
          <w:sz w:val="24"/>
          <w:szCs w:val="24"/>
        </w:rPr>
        <w:t>I will therefore not belabour this point.</w:t>
      </w:r>
    </w:p>
    <w:p w:rsidR="00271B22" w:rsidRDefault="00271B22"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issue that concerns me is whether the s</w:t>
      </w:r>
      <w:r w:rsidR="000C6EB5">
        <w:rPr>
          <w:rFonts w:ascii="Times New Roman" w:hAnsi="Times New Roman" w:cs="Times New Roman"/>
          <w:sz w:val="24"/>
          <w:szCs w:val="24"/>
        </w:rPr>
        <w:t>pecial plea raised is</w:t>
      </w:r>
      <w:r>
        <w:rPr>
          <w:rFonts w:ascii="Times New Roman" w:hAnsi="Times New Roman" w:cs="Times New Roman"/>
          <w:sz w:val="24"/>
          <w:szCs w:val="24"/>
        </w:rPr>
        <w:t xml:space="preserve"> well taken.</w:t>
      </w:r>
    </w:p>
    <w:p w:rsidR="005D43D8" w:rsidRDefault="005D43D8" w:rsidP="00090BBF">
      <w:pPr>
        <w:spacing w:after="0" w:line="360" w:lineRule="auto"/>
        <w:ind w:firstLine="720"/>
        <w:jc w:val="both"/>
        <w:rPr>
          <w:rFonts w:ascii="Times New Roman" w:hAnsi="Times New Roman" w:cs="Times New Roman"/>
          <w:sz w:val="24"/>
          <w:szCs w:val="24"/>
        </w:rPr>
      </w:pPr>
    </w:p>
    <w:p w:rsidR="005D43D8" w:rsidRPr="00AF6A88" w:rsidRDefault="005D43D8" w:rsidP="00AF6A88">
      <w:pPr>
        <w:spacing w:after="0" w:line="360" w:lineRule="auto"/>
        <w:jc w:val="both"/>
        <w:rPr>
          <w:rFonts w:ascii="Times New Roman" w:hAnsi="Times New Roman" w:cs="Times New Roman"/>
          <w:sz w:val="24"/>
          <w:szCs w:val="24"/>
          <w:u w:val="single"/>
        </w:rPr>
      </w:pPr>
      <w:r w:rsidRPr="00AF6A88">
        <w:rPr>
          <w:rFonts w:ascii="Times New Roman" w:hAnsi="Times New Roman" w:cs="Times New Roman"/>
          <w:sz w:val="24"/>
          <w:szCs w:val="24"/>
          <w:u w:val="single"/>
        </w:rPr>
        <w:t xml:space="preserve">WHETHER OR NOT </w:t>
      </w:r>
      <w:r w:rsidR="00F97BB4" w:rsidRPr="00AF6A88">
        <w:rPr>
          <w:rFonts w:ascii="Times New Roman" w:hAnsi="Times New Roman" w:cs="Times New Roman"/>
          <w:sz w:val="24"/>
          <w:szCs w:val="24"/>
          <w:u w:val="single"/>
        </w:rPr>
        <w:t xml:space="preserve">THE </w:t>
      </w:r>
      <w:r w:rsidRPr="00AF6A88">
        <w:rPr>
          <w:rFonts w:ascii="Times New Roman" w:hAnsi="Times New Roman" w:cs="Times New Roman"/>
          <w:sz w:val="24"/>
          <w:szCs w:val="24"/>
          <w:u w:val="single"/>
        </w:rPr>
        <w:t>D</w:t>
      </w:r>
      <w:r w:rsidR="00F97BB4" w:rsidRPr="00AF6A88">
        <w:rPr>
          <w:rFonts w:ascii="Times New Roman" w:hAnsi="Times New Roman" w:cs="Times New Roman"/>
          <w:sz w:val="24"/>
          <w:szCs w:val="24"/>
          <w:u w:val="single"/>
        </w:rPr>
        <w:t xml:space="preserve">ISTRICT </w:t>
      </w:r>
      <w:r w:rsidRPr="00AF6A88">
        <w:rPr>
          <w:rFonts w:ascii="Times New Roman" w:hAnsi="Times New Roman" w:cs="Times New Roman"/>
          <w:sz w:val="24"/>
          <w:szCs w:val="24"/>
          <w:u w:val="single"/>
        </w:rPr>
        <w:t>D</w:t>
      </w:r>
      <w:r w:rsidR="00F97BB4" w:rsidRPr="00AF6A88">
        <w:rPr>
          <w:rFonts w:ascii="Times New Roman" w:hAnsi="Times New Roman" w:cs="Times New Roman"/>
          <w:sz w:val="24"/>
          <w:szCs w:val="24"/>
          <w:u w:val="single"/>
        </w:rPr>
        <w:t xml:space="preserve">EVELOPMENT </w:t>
      </w:r>
      <w:r w:rsidRPr="00AF6A88">
        <w:rPr>
          <w:rFonts w:ascii="Times New Roman" w:hAnsi="Times New Roman" w:cs="Times New Roman"/>
          <w:sz w:val="24"/>
          <w:szCs w:val="24"/>
          <w:u w:val="single"/>
        </w:rPr>
        <w:t>F</w:t>
      </w:r>
      <w:r w:rsidR="00F97BB4" w:rsidRPr="00AF6A88">
        <w:rPr>
          <w:rFonts w:ascii="Times New Roman" w:hAnsi="Times New Roman" w:cs="Times New Roman"/>
          <w:sz w:val="24"/>
          <w:szCs w:val="24"/>
          <w:u w:val="single"/>
        </w:rPr>
        <w:t>UND (THE FUND)</w:t>
      </w:r>
      <w:r w:rsidRPr="00AF6A88">
        <w:rPr>
          <w:rFonts w:ascii="Times New Roman" w:hAnsi="Times New Roman" w:cs="Times New Roman"/>
          <w:sz w:val="24"/>
          <w:szCs w:val="24"/>
          <w:u w:val="single"/>
        </w:rPr>
        <w:t xml:space="preserve"> IS A LEGAL PERSON</w:t>
      </w:r>
    </w:p>
    <w:p w:rsidR="007A5B74" w:rsidRDefault="00AF6A88"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w:t>
      </w:r>
      <w:r w:rsidR="00040646">
        <w:rPr>
          <w:rFonts w:ascii="Times New Roman" w:hAnsi="Times New Roman" w:cs="Times New Roman"/>
          <w:sz w:val="24"/>
          <w:szCs w:val="24"/>
        </w:rPr>
        <w:t xml:space="preserve">efendants argued that </w:t>
      </w:r>
      <w:r>
        <w:rPr>
          <w:rFonts w:ascii="Times New Roman" w:hAnsi="Times New Roman" w:cs="Times New Roman"/>
          <w:sz w:val="24"/>
          <w:szCs w:val="24"/>
        </w:rPr>
        <w:t xml:space="preserve">the first </w:t>
      </w:r>
      <w:r w:rsidR="00040646">
        <w:rPr>
          <w:rFonts w:ascii="Times New Roman" w:hAnsi="Times New Roman" w:cs="Times New Roman"/>
          <w:sz w:val="24"/>
          <w:szCs w:val="24"/>
        </w:rPr>
        <w:t xml:space="preserve">defendant, being a </w:t>
      </w:r>
      <w:r w:rsidR="007A5B74">
        <w:rPr>
          <w:rFonts w:ascii="Times New Roman" w:hAnsi="Times New Roman" w:cs="Times New Roman"/>
          <w:sz w:val="24"/>
          <w:szCs w:val="24"/>
        </w:rPr>
        <w:t>Fund</w:t>
      </w:r>
      <w:r w:rsidR="00040646">
        <w:rPr>
          <w:rFonts w:ascii="Times New Roman" w:hAnsi="Times New Roman" w:cs="Times New Roman"/>
          <w:sz w:val="24"/>
          <w:szCs w:val="24"/>
        </w:rPr>
        <w:t xml:space="preserve"> constituted as a settlement </w:t>
      </w:r>
      <w:r w:rsidR="00040646" w:rsidRPr="00040646">
        <w:rPr>
          <w:rFonts w:ascii="Times New Roman" w:hAnsi="Times New Roman" w:cs="Times New Roman"/>
          <w:i/>
          <w:sz w:val="24"/>
          <w:szCs w:val="24"/>
        </w:rPr>
        <w:t>inter vivos</w:t>
      </w:r>
      <w:r w:rsidR="00040646">
        <w:rPr>
          <w:rFonts w:ascii="Times New Roman" w:hAnsi="Times New Roman" w:cs="Times New Roman"/>
          <w:sz w:val="24"/>
          <w:szCs w:val="24"/>
        </w:rPr>
        <w:t xml:space="preserve">, had no legal </w:t>
      </w:r>
      <w:r w:rsidR="00040646" w:rsidRPr="00040646">
        <w:rPr>
          <w:rFonts w:ascii="Times New Roman" w:hAnsi="Times New Roman" w:cs="Times New Roman"/>
          <w:i/>
          <w:sz w:val="24"/>
          <w:szCs w:val="24"/>
        </w:rPr>
        <w:t>persona</w:t>
      </w:r>
      <w:r w:rsidR="00040646">
        <w:rPr>
          <w:rFonts w:ascii="Times New Roman" w:hAnsi="Times New Roman" w:cs="Times New Roman"/>
          <w:sz w:val="24"/>
          <w:szCs w:val="24"/>
        </w:rPr>
        <w:t xml:space="preserve">. </w:t>
      </w:r>
      <w:r w:rsidR="003D621A">
        <w:rPr>
          <w:rFonts w:ascii="Times New Roman" w:hAnsi="Times New Roman" w:cs="Times New Roman"/>
          <w:sz w:val="24"/>
          <w:szCs w:val="24"/>
        </w:rPr>
        <w:t>The defendants cited v</w:t>
      </w:r>
      <w:r w:rsidR="00040646">
        <w:rPr>
          <w:rFonts w:ascii="Times New Roman" w:hAnsi="Times New Roman" w:cs="Times New Roman"/>
          <w:sz w:val="24"/>
          <w:szCs w:val="24"/>
        </w:rPr>
        <w:t>arious case law where it was settled that</w:t>
      </w:r>
      <w:r w:rsidR="000C6EB5">
        <w:rPr>
          <w:rFonts w:ascii="Times New Roman" w:hAnsi="Times New Roman" w:cs="Times New Roman"/>
          <w:sz w:val="24"/>
          <w:szCs w:val="24"/>
        </w:rPr>
        <w:t>, as a general rule,</w:t>
      </w:r>
      <w:r w:rsidR="00040646">
        <w:rPr>
          <w:rFonts w:ascii="Times New Roman" w:hAnsi="Times New Roman" w:cs="Times New Roman"/>
          <w:sz w:val="24"/>
          <w:szCs w:val="24"/>
        </w:rPr>
        <w:t xml:space="preserve"> a trust is not a legal person</w:t>
      </w:r>
      <w:r w:rsidR="007A5B74">
        <w:rPr>
          <w:rFonts w:ascii="Times New Roman" w:hAnsi="Times New Roman" w:cs="Times New Roman"/>
          <w:sz w:val="24"/>
          <w:szCs w:val="24"/>
        </w:rPr>
        <w:t>, but that t</w:t>
      </w:r>
      <w:r w:rsidR="00040646">
        <w:rPr>
          <w:rFonts w:ascii="Times New Roman" w:hAnsi="Times New Roman" w:cs="Times New Roman"/>
          <w:sz w:val="24"/>
          <w:szCs w:val="24"/>
        </w:rPr>
        <w:t>he trustee is the person to be considered for purposes of acquiring rights</w:t>
      </w:r>
      <w:r w:rsidR="007A5B74">
        <w:rPr>
          <w:rFonts w:ascii="Times New Roman" w:hAnsi="Times New Roman" w:cs="Times New Roman"/>
          <w:sz w:val="24"/>
          <w:szCs w:val="24"/>
        </w:rPr>
        <w:t>, suing</w:t>
      </w:r>
      <w:r w:rsidR="00040646">
        <w:rPr>
          <w:rFonts w:ascii="Times New Roman" w:hAnsi="Times New Roman" w:cs="Times New Roman"/>
          <w:sz w:val="24"/>
          <w:szCs w:val="24"/>
        </w:rPr>
        <w:t xml:space="preserve"> and bein</w:t>
      </w:r>
      <w:r w:rsidR="007A5B74">
        <w:rPr>
          <w:rFonts w:ascii="Times New Roman" w:hAnsi="Times New Roman" w:cs="Times New Roman"/>
          <w:sz w:val="24"/>
          <w:szCs w:val="24"/>
        </w:rPr>
        <w:t>g</w:t>
      </w:r>
      <w:r w:rsidR="00040646">
        <w:rPr>
          <w:rFonts w:ascii="Times New Roman" w:hAnsi="Times New Roman" w:cs="Times New Roman"/>
          <w:sz w:val="24"/>
          <w:szCs w:val="24"/>
        </w:rPr>
        <w:t xml:space="preserve"> sued. </w:t>
      </w:r>
      <w:r w:rsidR="003D621A">
        <w:rPr>
          <w:rFonts w:ascii="Times New Roman" w:hAnsi="Times New Roman" w:cs="Times New Roman"/>
          <w:sz w:val="24"/>
          <w:szCs w:val="24"/>
        </w:rPr>
        <w:t>They further submitted that,</w:t>
      </w:r>
      <w:r w:rsidR="007A5B74">
        <w:rPr>
          <w:rFonts w:ascii="Times New Roman" w:hAnsi="Times New Roman" w:cs="Times New Roman"/>
          <w:sz w:val="24"/>
          <w:szCs w:val="24"/>
        </w:rPr>
        <w:t xml:space="preserve"> for purposes of the present case, the trustee of the Fund being a Minister, then the provisions of s</w:t>
      </w:r>
      <w:r>
        <w:rPr>
          <w:rFonts w:ascii="Times New Roman" w:hAnsi="Times New Roman" w:cs="Times New Roman"/>
          <w:sz w:val="24"/>
          <w:szCs w:val="24"/>
        </w:rPr>
        <w:t xml:space="preserve"> </w:t>
      </w:r>
      <w:r w:rsidR="007A5B74">
        <w:rPr>
          <w:rFonts w:ascii="Times New Roman" w:hAnsi="Times New Roman" w:cs="Times New Roman"/>
          <w:sz w:val="24"/>
          <w:szCs w:val="24"/>
        </w:rPr>
        <w:t xml:space="preserve">3 of the State Liabilities Act </w:t>
      </w:r>
      <w:r>
        <w:rPr>
          <w:rFonts w:ascii="Times New Roman" w:hAnsi="Times New Roman" w:cs="Times New Roman"/>
          <w:sz w:val="24"/>
          <w:szCs w:val="24"/>
        </w:rPr>
        <w:t>[</w:t>
      </w:r>
      <w:r w:rsidR="007A5B74" w:rsidRPr="00AF6A88">
        <w:rPr>
          <w:rFonts w:ascii="Times New Roman" w:hAnsi="Times New Roman" w:cs="Times New Roman"/>
          <w:i/>
          <w:sz w:val="24"/>
          <w:szCs w:val="24"/>
        </w:rPr>
        <w:t>Chapter 8:14</w:t>
      </w:r>
      <w:r>
        <w:rPr>
          <w:rFonts w:ascii="Times New Roman" w:hAnsi="Times New Roman" w:cs="Times New Roman"/>
          <w:sz w:val="24"/>
          <w:szCs w:val="24"/>
        </w:rPr>
        <w:t>]</w:t>
      </w:r>
      <w:r w:rsidR="007A5B74">
        <w:rPr>
          <w:rFonts w:ascii="Times New Roman" w:hAnsi="Times New Roman" w:cs="Times New Roman"/>
          <w:sz w:val="24"/>
          <w:szCs w:val="24"/>
        </w:rPr>
        <w:t xml:space="preserve"> </w:t>
      </w:r>
      <w:r w:rsidR="000C6EB5">
        <w:rPr>
          <w:rFonts w:ascii="Times New Roman" w:hAnsi="Times New Roman" w:cs="Times New Roman"/>
          <w:sz w:val="24"/>
          <w:szCs w:val="24"/>
        </w:rPr>
        <w:t>ought</w:t>
      </w:r>
      <w:r w:rsidR="007A5B74">
        <w:rPr>
          <w:rFonts w:ascii="Times New Roman" w:hAnsi="Times New Roman" w:cs="Times New Roman"/>
          <w:sz w:val="24"/>
          <w:szCs w:val="24"/>
        </w:rPr>
        <w:t xml:space="preserve"> apply when instituting legal proceedings in that the Minister </w:t>
      </w:r>
      <w:r w:rsidR="000C6EB5">
        <w:rPr>
          <w:rFonts w:ascii="Times New Roman" w:hAnsi="Times New Roman" w:cs="Times New Roman"/>
          <w:sz w:val="24"/>
          <w:szCs w:val="24"/>
        </w:rPr>
        <w:t>must</w:t>
      </w:r>
      <w:r w:rsidR="00F97BB4">
        <w:rPr>
          <w:rFonts w:ascii="Times New Roman" w:hAnsi="Times New Roman" w:cs="Times New Roman"/>
          <w:sz w:val="24"/>
          <w:szCs w:val="24"/>
        </w:rPr>
        <w:t xml:space="preserve"> to</w:t>
      </w:r>
      <w:r w:rsidR="007A5B74">
        <w:rPr>
          <w:rFonts w:ascii="Times New Roman" w:hAnsi="Times New Roman" w:cs="Times New Roman"/>
          <w:sz w:val="24"/>
          <w:szCs w:val="24"/>
        </w:rPr>
        <w:t xml:space="preserve"> be cited.</w:t>
      </w:r>
    </w:p>
    <w:p w:rsidR="007A5B74" w:rsidRDefault="007A5B74"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plaintiff, it was argued that the case law on trusts that was cited was irrelevant as it did not apply to statutory bodies. It was further </w:t>
      </w:r>
      <w:r w:rsidR="00F464A9">
        <w:rPr>
          <w:rFonts w:ascii="Times New Roman" w:hAnsi="Times New Roman" w:cs="Times New Roman"/>
          <w:sz w:val="24"/>
          <w:szCs w:val="24"/>
        </w:rPr>
        <w:t>argued that the Fund was a department in the relevant Ministry, in which case plaintiff was at liberty to cite the Fund or the Minister as s</w:t>
      </w:r>
      <w:r w:rsidR="00AF6A88">
        <w:rPr>
          <w:rFonts w:ascii="Times New Roman" w:hAnsi="Times New Roman" w:cs="Times New Roman"/>
          <w:sz w:val="24"/>
          <w:szCs w:val="24"/>
        </w:rPr>
        <w:t xml:space="preserve"> </w:t>
      </w:r>
      <w:r w:rsidR="00F464A9">
        <w:rPr>
          <w:rFonts w:ascii="Times New Roman" w:hAnsi="Times New Roman" w:cs="Times New Roman"/>
          <w:sz w:val="24"/>
          <w:szCs w:val="24"/>
        </w:rPr>
        <w:t>3 was permissive rather than peremptory.</w:t>
      </w:r>
    </w:p>
    <w:p w:rsidR="0076569D" w:rsidRPr="002F6E61" w:rsidRDefault="0076569D"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that only legal persons may be brought to court. And if constituted by statute, the relevant act of parliament must vest legal </w:t>
      </w:r>
      <w:r w:rsidRPr="0076569D">
        <w:rPr>
          <w:rFonts w:ascii="Times New Roman" w:hAnsi="Times New Roman" w:cs="Times New Roman"/>
          <w:i/>
          <w:sz w:val="24"/>
          <w:szCs w:val="24"/>
        </w:rPr>
        <w:t>persona</w:t>
      </w:r>
      <w:r>
        <w:rPr>
          <w:rFonts w:ascii="Times New Roman" w:hAnsi="Times New Roman" w:cs="Times New Roman"/>
          <w:sz w:val="24"/>
          <w:szCs w:val="24"/>
        </w:rPr>
        <w:t xml:space="preserve"> on th</w:t>
      </w:r>
      <w:r w:rsidR="003D621A">
        <w:rPr>
          <w:rFonts w:ascii="Times New Roman" w:hAnsi="Times New Roman" w:cs="Times New Roman"/>
          <w:sz w:val="24"/>
          <w:szCs w:val="24"/>
        </w:rPr>
        <w:t>at person</w:t>
      </w:r>
      <w:r>
        <w:rPr>
          <w:rFonts w:ascii="Times New Roman" w:hAnsi="Times New Roman" w:cs="Times New Roman"/>
          <w:sz w:val="24"/>
          <w:szCs w:val="24"/>
        </w:rPr>
        <w:t>. Consequently, for summons to have force and effect it must be issued against a legal person with capacity to sue and be sued.</w:t>
      </w:r>
      <w:r w:rsidR="007565B8">
        <w:rPr>
          <w:rFonts w:ascii="Times New Roman" w:hAnsi="Times New Roman" w:cs="Times New Roman"/>
          <w:sz w:val="24"/>
          <w:szCs w:val="24"/>
        </w:rPr>
        <w:t xml:space="preserve"> See Malaba J (as he then was) in </w:t>
      </w:r>
      <w:r w:rsidR="007565B8" w:rsidRPr="007565B8">
        <w:rPr>
          <w:rFonts w:ascii="Times New Roman" w:hAnsi="Times New Roman" w:cs="Times New Roman"/>
          <w:i/>
          <w:sz w:val="24"/>
          <w:szCs w:val="24"/>
        </w:rPr>
        <w:t xml:space="preserve">Gariya Safaris (Pvt) Ltd </w:t>
      </w:r>
      <w:r w:rsidR="007565B8" w:rsidRPr="002F6E61">
        <w:rPr>
          <w:rFonts w:ascii="Times New Roman" w:hAnsi="Times New Roman" w:cs="Times New Roman"/>
          <w:sz w:val="24"/>
          <w:szCs w:val="24"/>
        </w:rPr>
        <w:t>v</w:t>
      </w:r>
      <w:r w:rsidR="007565B8" w:rsidRPr="007565B8">
        <w:rPr>
          <w:rFonts w:ascii="Times New Roman" w:hAnsi="Times New Roman" w:cs="Times New Roman"/>
          <w:i/>
          <w:sz w:val="24"/>
          <w:szCs w:val="24"/>
        </w:rPr>
        <w:t xml:space="preserve"> Van Wyk </w:t>
      </w:r>
      <w:r w:rsidR="007565B8" w:rsidRPr="002F6E61">
        <w:rPr>
          <w:rFonts w:ascii="Times New Roman" w:hAnsi="Times New Roman" w:cs="Times New Roman"/>
          <w:sz w:val="24"/>
          <w:szCs w:val="24"/>
        </w:rPr>
        <w:t>1996 (2) ZLR 246 (H) at 252G where he stated:</w:t>
      </w:r>
    </w:p>
    <w:p w:rsidR="007565B8" w:rsidRDefault="007565B8" w:rsidP="002F6E61">
      <w:pPr>
        <w:spacing w:after="0" w:line="240" w:lineRule="auto"/>
        <w:ind w:left="720"/>
        <w:jc w:val="both"/>
        <w:rPr>
          <w:rFonts w:ascii="Times New Roman" w:hAnsi="Times New Roman" w:cs="Times New Roman"/>
        </w:rPr>
      </w:pPr>
      <w:r w:rsidRPr="007565B8">
        <w:rPr>
          <w:rFonts w:ascii="Times New Roman" w:hAnsi="Times New Roman" w:cs="Times New Roman"/>
        </w:rPr>
        <w:t xml:space="preserve">“A summons has legal force and effect when it is issued by the plaintiff against an existing legal or natural person. If there is no legal or natural person answering to the names written in the summons as being those of the defendant, the summons is null and void </w:t>
      </w:r>
      <w:r w:rsidRPr="007565B8">
        <w:rPr>
          <w:rFonts w:ascii="Times New Roman" w:hAnsi="Times New Roman" w:cs="Times New Roman"/>
          <w:i/>
        </w:rPr>
        <w:t>ab initio</w:t>
      </w:r>
      <w:r w:rsidRPr="007565B8">
        <w:rPr>
          <w:rFonts w:ascii="Times New Roman" w:hAnsi="Times New Roman" w:cs="Times New Roman"/>
        </w:rPr>
        <w:t>.”</w:t>
      </w:r>
    </w:p>
    <w:p w:rsidR="002F6E61" w:rsidRPr="007565B8" w:rsidRDefault="002F6E61" w:rsidP="002F6E61">
      <w:pPr>
        <w:spacing w:after="0" w:line="240" w:lineRule="auto"/>
        <w:ind w:left="720"/>
        <w:jc w:val="both"/>
        <w:rPr>
          <w:rFonts w:ascii="Times New Roman" w:hAnsi="Times New Roman" w:cs="Times New Roman"/>
        </w:rPr>
      </w:pPr>
    </w:p>
    <w:p w:rsidR="00DB273A" w:rsidRDefault="006535AE"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District Development Fund was established by the District Development Fund Act </w:t>
      </w:r>
      <w:r w:rsidR="00992BF9">
        <w:rPr>
          <w:rFonts w:ascii="Times New Roman" w:hAnsi="Times New Roman" w:cs="Times New Roman"/>
          <w:sz w:val="24"/>
          <w:szCs w:val="24"/>
        </w:rPr>
        <w:t>[</w:t>
      </w:r>
      <w:r w:rsidRPr="00992BF9">
        <w:rPr>
          <w:rFonts w:ascii="Times New Roman" w:hAnsi="Times New Roman" w:cs="Times New Roman"/>
          <w:i/>
          <w:sz w:val="24"/>
          <w:szCs w:val="24"/>
        </w:rPr>
        <w:t>Chapter 29:06</w:t>
      </w:r>
      <w:r w:rsidR="00992BF9">
        <w:rPr>
          <w:rFonts w:ascii="Times New Roman" w:hAnsi="Times New Roman" w:cs="Times New Roman"/>
          <w:sz w:val="24"/>
          <w:szCs w:val="24"/>
        </w:rPr>
        <w:t>]</w:t>
      </w:r>
      <w:r>
        <w:rPr>
          <w:rFonts w:ascii="Times New Roman" w:hAnsi="Times New Roman" w:cs="Times New Roman"/>
          <w:sz w:val="24"/>
          <w:szCs w:val="24"/>
        </w:rPr>
        <w:t xml:space="preserve"> upon the repeal of the African Development Fund Act 2</w:t>
      </w:r>
      <w:r w:rsidR="00F97BB4">
        <w:rPr>
          <w:rFonts w:ascii="Times New Roman" w:hAnsi="Times New Roman" w:cs="Times New Roman"/>
          <w:sz w:val="24"/>
          <w:szCs w:val="24"/>
        </w:rPr>
        <w:t>32 of 1974. The purpose of the F</w:t>
      </w:r>
      <w:r>
        <w:rPr>
          <w:rFonts w:ascii="Times New Roman" w:hAnsi="Times New Roman" w:cs="Times New Roman"/>
          <w:sz w:val="24"/>
          <w:szCs w:val="24"/>
        </w:rPr>
        <w:t xml:space="preserve">und is </w:t>
      </w:r>
      <w:r w:rsidR="00DB273A">
        <w:rPr>
          <w:rFonts w:ascii="Times New Roman" w:hAnsi="Times New Roman" w:cs="Times New Roman"/>
          <w:sz w:val="24"/>
          <w:szCs w:val="24"/>
        </w:rPr>
        <w:t>stated</w:t>
      </w:r>
      <w:r>
        <w:rPr>
          <w:rFonts w:ascii="Times New Roman" w:hAnsi="Times New Roman" w:cs="Times New Roman"/>
          <w:sz w:val="24"/>
          <w:szCs w:val="24"/>
        </w:rPr>
        <w:t xml:space="preserve"> in the preamble as  </w:t>
      </w:r>
    </w:p>
    <w:p w:rsidR="006535AE" w:rsidRDefault="00DB273A" w:rsidP="004B6B5B">
      <w:pPr>
        <w:spacing w:after="0" w:line="240" w:lineRule="auto"/>
        <w:ind w:left="720"/>
        <w:jc w:val="both"/>
        <w:rPr>
          <w:rFonts w:ascii="Times New Roman" w:hAnsi="Times New Roman" w:cs="Times New Roman"/>
        </w:rPr>
      </w:pPr>
      <w:r w:rsidRPr="004B6B5B">
        <w:rPr>
          <w:rFonts w:ascii="Times New Roman" w:hAnsi="Times New Roman" w:cs="Times New Roman"/>
        </w:rPr>
        <w:t>“</w:t>
      </w:r>
      <w:r w:rsidR="004B6B5B" w:rsidRPr="004B6B5B">
        <w:rPr>
          <w:rFonts w:ascii="Times New Roman" w:hAnsi="Times New Roman" w:cs="Times New Roman"/>
        </w:rPr>
        <w:t>To</w:t>
      </w:r>
      <w:r w:rsidRPr="004B6B5B">
        <w:rPr>
          <w:rFonts w:ascii="Times New Roman" w:hAnsi="Times New Roman" w:cs="Times New Roman"/>
        </w:rPr>
        <w:t xml:space="preserve"> provide for the control and application of a fund to be used for the purpose of developing Communal Land and such other areas as may be declared by the Minister, to provide the raising of revenue for such fund and to provide for matters incidental or connected thereto”. (My paraphrasing)</w:t>
      </w:r>
    </w:p>
    <w:p w:rsidR="004B6B5B" w:rsidRPr="004B6B5B" w:rsidRDefault="004B6B5B" w:rsidP="004B6B5B">
      <w:pPr>
        <w:spacing w:after="0" w:line="240" w:lineRule="auto"/>
        <w:ind w:left="720"/>
        <w:jc w:val="both"/>
        <w:rPr>
          <w:rFonts w:ascii="Times New Roman" w:hAnsi="Times New Roman" w:cs="Times New Roman"/>
        </w:rPr>
      </w:pPr>
    </w:p>
    <w:p w:rsidR="006F1A61" w:rsidRDefault="00DB273A" w:rsidP="00DB273A">
      <w:pPr>
        <w:spacing w:after="0" w:line="360" w:lineRule="auto"/>
        <w:ind w:left="-90" w:firstLine="810"/>
        <w:jc w:val="both"/>
        <w:rPr>
          <w:rFonts w:ascii="Times New Roman" w:hAnsi="Times New Roman" w:cs="Times New Roman"/>
          <w:sz w:val="24"/>
          <w:szCs w:val="24"/>
        </w:rPr>
      </w:pPr>
      <w:r>
        <w:rPr>
          <w:rFonts w:ascii="Times New Roman" w:hAnsi="Times New Roman" w:cs="Times New Roman"/>
          <w:sz w:val="24"/>
          <w:szCs w:val="24"/>
        </w:rPr>
        <w:lastRenderedPageBreak/>
        <w:t>S</w:t>
      </w:r>
      <w:r w:rsidR="004B6B5B">
        <w:rPr>
          <w:rFonts w:ascii="Times New Roman" w:hAnsi="Times New Roman" w:cs="Times New Roman"/>
          <w:sz w:val="24"/>
          <w:szCs w:val="24"/>
        </w:rPr>
        <w:t xml:space="preserve">ection </w:t>
      </w:r>
      <w:r>
        <w:rPr>
          <w:rFonts w:ascii="Times New Roman" w:hAnsi="Times New Roman" w:cs="Times New Roman"/>
          <w:sz w:val="24"/>
          <w:szCs w:val="24"/>
        </w:rPr>
        <w:t>3</w:t>
      </w:r>
      <w:r w:rsidR="004B6B5B">
        <w:rPr>
          <w:rFonts w:ascii="Times New Roman" w:hAnsi="Times New Roman" w:cs="Times New Roman"/>
          <w:sz w:val="24"/>
          <w:szCs w:val="24"/>
        </w:rPr>
        <w:t xml:space="preserve"> </w:t>
      </w:r>
      <w:r>
        <w:rPr>
          <w:rFonts w:ascii="Times New Roman" w:hAnsi="Times New Roman" w:cs="Times New Roman"/>
          <w:sz w:val="24"/>
          <w:szCs w:val="24"/>
        </w:rPr>
        <w:t xml:space="preserve">(2) vests in the Minister </w:t>
      </w:r>
      <w:r w:rsidR="006F1A61">
        <w:rPr>
          <w:rFonts w:ascii="Times New Roman" w:hAnsi="Times New Roman" w:cs="Times New Roman"/>
          <w:sz w:val="24"/>
          <w:szCs w:val="24"/>
        </w:rPr>
        <w:t xml:space="preserve">for Local Government, Rural and Urban Development, </w:t>
      </w:r>
      <w:r>
        <w:rPr>
          <w:rFonts w:ascii="Times New Roman" w:hAnsi="Times New Roman" w:cs="Times New Roman"/>
          <w:sz w:val="24"/>
          <w:szCs w:val="24"/>
        </w:rPr>
        <w:t>the sole management</w:t>
      </w:r>
      <w:r w:rsidR="00F97BB4">
        <w:rPr>
          <w:rFonts w:ascii="Times New Roman" w:hAnsi="Times New Roman" w:cs="Times New Roman"/>
          <w:sz w:val="24"/>
          <w:szCs w:val="24"/>
        </w:rPr>
        <w:t>, control and use of the F</w:t>
      </w:r>
      <w:r w:rsidR="004B6B5B">
        <w:rPr>
          <w:rFonts w:ascii="Times New Roman" w:hAnsi="Times New Roman" w:cs="Times New Roman"/>
          <w:sz w:val="24"/>
          <w:szCs w:val="24"/>
        </w:rPr>
        <w:t xml:space="preserve">und as the trustee, while s </w:t>
      </w:r>
      <w:r>
        <w:rPr>
          <w:rFonts w:ascii="Times New Roman" w:hAnsi="Times New Roman" w:cs="Times New Roman"/>
          <w:sz w:val="24"/>
          <w:szCs w:val="24"/>
        </w:rPr>
        <w:t xml:space="preserve">4 </w:t>
      </w:r>
      <w:r w:rsidR="00464C26">
        <w:rPr>
          <w:rFonts w:ascii="Times New Roman" w:hAnsi="Times New Roman" w:cs="Times New Roman"/>
          <w:sz w:val="24"/>
          <w:szCs w:val="24"/>
        </w:rPr>
        <w:t xml:space="preserve">also </w:t>
      </w:r>
      <w:r>
        <w:rPr>
          <w:rFonts w:ascii="Times New Roman" w:hAnsi="Times New Roman" w:cs="Times New Roman"/>
          <w:sz w:val="24"/>
          <w:szCs w:val="24"/>
        </w:rPr>
        <w:t xml:space="preserve">vests the control of the Fund’s assets, liabilities and expenditure in the Minister. The development of areas and application of the fund is also vested in the Minister in terms of ss 5 and 6. </w:t>
      </w:r>
    </w:p>
    <w:p w:rsidR="003D621A" w:rsidRDefault="00A12575" w:rsidP="00DB273A">
      <w:pPr>
        <w:spacing w:after="0" w:line="360" w:lineRule="auto"/>
        <w:ind w:left="-90" w:firstLine="810"/>
        <w:jc w:val="both"/>
        <w:rPr>
          <w:rFonts w:ascii="Times New Roman" w:hAnsi="Times New Roman" w:cs="Times New Roman"/>
          <w:sz w:val="24"/>
          <w:szCs w:val="24"/>
        </w:rPr>
      </w:pPr>
      <w:r>
        <w:rPr>
          <w:rFonts w:ascii="Times New Roman" w:hAnsi="Times New Roman" w:cs="Times New Roman"/>
          <w:sz w:val="24"/>
          <w:szCs w:val="24"/>
        </w:rPr>
        <w:t>Consequently</w:t>
      </w:r>
      <w:r w:rsidR="005A2C1D">
        <w:rPr>
          <w:rFonts w:ascii="Times New Roman" w:hAnsi="Times New Roman" w:cs="Times New Roman"/>
          <w:sz w:val="24"/>
          <w:szCs w:val="24"/>
        </w:rPr>
        <w:t xml:space="preserve">, the first </w:t>
      </w:r>
      <w:r w:rsidR="00FC778F">
        <w:rPr>
          <w:rFonts w:ascii="Times New Roman" w:hAnsi="Times New Roman" w:cs="Times New Roman"/>
          <w:sz w:val="24"/>
          <w:szCs w:val="24"/>
        </w:rPr>
        <w:t xml:space="preserve">defendant is </w:t>
      </w:r>
      <w:r>
        <w:rPr>
          <w:rFonts w:ascii="Times New Roman" w:hAnsi="Times New Roman" w:cs="Times New Roman"/>
          <w:sz w:val="24"/>
          <w:szCs w:val="24"/>
        </w:rPr>
        <w:t>clearly</w:t>
      </w:r>
      <w:r w:rsidR="00FC778F">
        <w:rPr>
          <w:rFonts w:ascii="Times New Roman" w:hAnsi="Times New Roman" w:cs="Times New Roman"/>
          <w:sz w:val="24"/>
          <w:szCs w:val="24"/>
        </w:rPr>
        <w:t xml:space="preserve"> a fund set up for a particular purpose and managed by a legal person, who is responsible for its assets and liabilities, and has the authority to sue and be sued with regard thereto. </w:t>
      </w:r>
      <w:r w:rsidR="00DB273A">
        <w:rPr>
          <w:rFonts w:ascii="Times New Roman" w:hAnsi="Times New Roman" w:cs="Times New Roman"/>
          <w:sz w:val="24"/>
          <w:szCs w:val="24"/>
        </w:rPr>
        <w:t xml:space="preserve">There is thus no provision in the Act creating corporate identity or legal </w:t>
      </w:r>
      <w:r w:rsidR="00DB273A" w:rsidRPr="00DB273A">
        <w:rPr>
          <w:rFonts w:ascii="Times New Roman" w:hAnsi="Times New Roman" w:cs="Times New Roman"/>
          <w:i/>
          <w:sz w:val="24"/>
          <w:szCs w:val="24"/>
        </w:rPr>
        <w:t>persona</w:t>
      </w:r>
      <w:r w:rsidR="00F97BB4">
        <w:rPr>
          <w:rFonts w:ascii="Times New Roman" w:hAnsi="Times New Roman" w:cs="Times New Roman"/>
          <w:sz w:val="24"/>
          <w:szCs w:val="24"/>
        </w:rPr>
        <w:t xml:space="preserve"> for the F</w:t>
      </w:r>
      <w:r w:rsidR="00DB273A">
        <w:rPr>
          <w:rFonts w:ascii="Times New Roman" w:hAnsi="Times New Roman" w:cs="Times New Roman"/>
          <w:sz w:val="24"/>
          <w:szCs w:val="24"/>
        </w:rPr>
        <w:t xml:space="preserve">und. </w:t>
      </w:r>
      <w:r w:rsidR="003D621A">
        <w:rPr>
          <w:rFonts w:ascii="Times New Roman" w:hAnsi="Times New Roman" w:cs="Times New Roman"/>
          <w:sz w:val="24"/>
          <w:szCs w:val="24"/>
        </w:rPr>
        <w:t>First defendant is thus not a self-administering institution.</w:t>
      </w:r>
    </w:p>
    <w:p w:rsidR="00DB273A" w:rsidRDefault="00DB273A" w:rsidP="00DB273A">
      <w:pPr>
        <w:spacing w:after="0" w:line="360" w:lineRule="auto"/>
        <w:ind w:left="-90" w:firstLine="810"/>
        <w:jc w:val="both"/>
        <w:rPr>
          <w:rFonts w:ascii="Times New Roman" w:hAnsi="Times New Roman" w:cs="Times New Roman"/>
          <w:sz w:val="24"/>
          <w:szCs w:val="24"/>
        </w:rPr>
      </w:pPr>
      <w:r>
        <w:rPr>
          <w:rFonts w:ascii="Times New Roman" w:hAnsi="Times New Roman" w:cs="Times New Roman"/>
          <w:sz w:val="24"/>
          <w:szCs w:val="24"/>
        </w:rPr>
        <w:t>This is quite unlike s 18 (1) of the Health Service Act [</w:t>
      </w:r>
      <w:r w:rsidRPr="007A060A">
        <w:rPr>
          <w:rFonts w:ascii="Times New Roman" w:hAnsi="Times New Roman" w:cs="Times New Roman"/>
          <w:i/>
          <w:sz w:val="24"/>
          <w:szCs w:val="24"/>
        </w:rPr>
        <w:t>C</w:t>
      </w:r>
      <w:r>
        <w:rPr>
          <w:rFonts w:ascii="Times New Roman" w:hAnsi="Times New Roman" w:cs="Times New Roman"/>
          <w:i/>
          <w:sz w:val="24"/>
          <w:szCs w:val="24"/>
        </w:rPr>
        <w:t>hapter</w:t>
      </w:r>
      <w:r w:rsidRPr="007A060A">
        <w:rPr>
          <w:rFonts w:ascii="Times New Roman" w:hAnsi="Times New Roman" w:cs="Times New Roman"/>
          <w:i/>
          <w:sz w:val="24"/>
          <w:szCs w:val="24"/>
        </w:rPr>
        <w:t xml:space="preserve"> 15:16</w:t>
      </w:r>
      <w:r>
        <w:rPr>
          <w:rFonts w:ascii="Times New Roman" w:hAnsi="Times New Roman" w:cs="Times New Roman"/>
          <w:sz w:val="24"/>
          <w:szCs w:val="24"/>
        </w:rPr>
        <w:t xml:space="preserve">] which makes any government hospital </w:t>
      </w:r>
      <w:r w:rsidR="003D621A">
        <w:rPr>
          <w:rFonts w:ascii="Times New Roman" w:hAnsi="Times New Roman" w:cs="Times New Roman"/>
          <w:sz w:val="24"/>
          <w:szCs w:val="24"/>
        </w:rPr>
        <w:t xml:space="preserve">self-administering and </w:t>
      </w:r>
      <w:r>
        <w:rPr>
          <w:rFonts w:ascii="Times New Roman" w:hAnsi="Times New Roman" w:cs="Times New Roman"/>
          <w:sz w:val="24"/>
          <w:szCs w:val="24"/>
        </w:rPr>
        <w:t>capable of being sued and suing in its own right.  The relevant s 18 (1) of the Health Service Act provides as follows:</w:t>
      </w:r>
    </w:p>
    <w:p w:rsidR="00DB273A" w:rsidRPr="00983B07" w:rsidRDefault="00DB273A" w:rsidP="00435CFE">
      <w:pPr>
        <w:spacing w:after="0" w:line="240" w:lineRule="auto"/>
        <w:ind w:left="-90" w:firstLine="810"/>
        <w:jc w:val="both"/>
        <w:rPr>
          <w:rFonts w:ascii="Times New Roman" w:hAnsi="Times New Roman" w:cs="Times New Roman"/>
        </w:rPr>
      </w:pPr>
      <w:r w:rsidRPr="00983B07">
        <w:rPr>
          <w:rFonts w:ascii="Times New Roman" w:hAnsi="Times New Roman" w:cs="Times New Roman"/>
        </w:rPr>
        <w:t>“18 Corporate status of central, provincial, district and general hospitals.</w:t>
      </w:r>
    </w:p>
    <w:p w:rsidR="00C90EE6" w:rsidRDefault="00DB273A" w:rsidP="00435CFE">
      <w:pPr>
        <w:spacing w:after="0" w:line="240" w:lineRule="auto"/>
        <w:ind w:left="720"/>
        <w:jc w:val="both"/>
        <w:rPr>
          <w:rFonts w:ascii="Times New Roman" w:hAnsi="Times New Roman" w:cs="Times New Roman"/>
        </w:rPr>
      </w:pPr>
      <w:r w:rsidRPr="00983B07">
        <w:rPr>
          <w:rFonts w:ascii="Times New Roman" w:hAnsi="Times New Roman" w:cs="Times New Roman"/>
        </w:rPr>
        <w:t>Subject to subsection (3), each central, provincial, district or general hospital shall be a body corporate capable of suing and being sued in its own name and subject to the Act, performing all acts that bodies corporate may by law perfor</w:t>
      </w:r>
      <w:r w:rsidR="00C90EE6" w:rsidRPr="00983B07">
        <w:rPr>
          <w:rFonts w:ascii="Times New Roman" w:hAnsi="Times New Roman" w:cs="Times New Roman"/>
        </w:rPr>
        <w:t>m”.</w:t>
      </w:r>
    </w:p>
    <w:p w:rsidR="002E670F" w:rsidRPr="00983B07" w:rsidRDefault="002E670F" w:rsidP="00435CFE">
      <w:pPr>
        <w:spacing w:after="0" w:line="240" w:lineRule="auto"/>
        <w:ind w:left="720"/>
        <w:jc w:val="both"/>
        <w:rPr>
          <w:rFonts w:ascii="Times New Roman" w:hAnsi="Times New Roman" w:cs="Times New Roman"/>
        </w:rPr>
      </w:pPr>
    </w:p>
    <w:p w:rsidR="005D43D8" w:rsidRPr="00F97BB4" w:rsidRDefault="00C90EE6" w:rsidP="00DB273A">
      <w:pPr>
        <w:spacing w:after="0" w:line="360" w:lineRule="auto"/>
        <w:ind w:firstLine="720"/>
        <w:jc w:val="both"/>
        <w:rPr>
          <w:rFonts w:ascii="Times New Roman" w:hAnsi="Times New Roman" w:cs="Times New Roman"/>
          <w:sz w:val="24"/>
          <w:szCs w:val="24"/>
        </w:rPr>
      </w:pPr>
      <w:r w:rsidRPr="00F97BB4">
        <w:rPr>
          <w:rFonts w:ascii="Times New Roman" w:hAnsi="Times New Roman" w:cs="Times New Roman"/>
          <w:sz w:val="24"/>
          <w:szCs w:val="24"/>
        </w:rPr>
        <w:t>The significance of this is that</w:t>
      </w:r>
      <w:r w:rsidR="00464C26">
        <w:rPr>
          <w:rFonts w:ascii="Times New Roman" w:hAnsi="Times New Roman" w:cs="Times New Roman"/>
          <w:sz w:val="24"/>
          <w:szCs w:val="24"/>
        </w:rPr>
        <w:t>,</w:t>
      </w:r>
      <w:r w:rsidRPr="00F97BB4">
        <w:rPr>
          <w:rFonts w:ascii="Times New Roman" w:hAnsi="Times New Roman" w:cs="Times New Roman"/>
          <w:sz w:val="24"/>
          <w:szCs w:val="24"/>
        </w:rPr>
        <w:t xml:space="preserve"> for an institution created by statute, the relevant Act must make </w:t>
      </w:r>
      <w:r w:rsidR="00EC7869" w:rsidRPr="00F97BB4">
        <w:rPr>
          <w:rFonts w:ascii="Times New Roman" w:hAnsi="Times New Roman" w:cs="Times New Roman"/>
          <w:sz w:val="24"/>
          <w:szCs w:val="24"/>
        </w:rPr>
        <w:t>provision for</w:t>
      </w:r>
      <w:r w:rsidRPr="00F97BB4">
        <w:rPr>
          <w:rFonts w:ascii="Times New Roman" w:hAnsi="Times New Roman" w:cs="Times New Roman"/>
          <w:sz w:val="24"/>
          <w:szCs w:val="24"/>
        </w:rPr>
        <w:t xml:space="preserve"> it to operate as a legal </w:t>
      </w:r>
      <w:r w:rsidRPr="00F97BB4">
        <w:rPr>
          <w:rFonts w:ascii="Times New Roman" w:hAnsi="Times New Roman" w:cs="Times New Roman"/>
          <w:i/>
          <w:sz w:val="24"/>
          <w:szCs w:val="24"/>
        </w:rPr>
        <w:t>persona.</w:t>
      </w:r>
      <w:r w:rsidR="00DB273A" w:rsidRPr="00F97BB4">
        <w:rPr>
          <w:rFonts w:ascii="Times New Roman" w:hAnsi="Times New Roman" w:cs="Times New Roman"/>
          <w:sz w:val="24"/>
          <w:szCs w:val="24"/>
        </w:rPr>
        <w:t xml:space="preserve"> </w:t>
      </w:r>
      <w:r w:rsidR="00EC7869" w:rsidRPr="00F97BB4">
        <w:rPr>
          <w:rFonts w:ascii="Times New Roman" w:hAnsi="Times New Roman" w:cs="Times New Roman"/>
          <w:sz w:val="24"/>
          <w:szCs w:val="24"/>
        </w:rPr>
        <w:t>This principle was aptly enunciated in</w:t>
      </w:r>
      <w:r w:rsidRPr="00F97BB4">
        <w:rPr>
          <w:rFonts w:ascii="Times New Roman" w:hAnsi="Times New Roman" w:cs="Times New Roman"/>
          <w:sz w:val="24"/>
          <w:szCs w:val="24"/>
        </w:rPr>
        <w:t xml:space="preserve"> </w:t>
      </w:r>
      <w:r w:rsidRPr="00F97BB4">
        <w:rPr>
          <w:rFonts w:ascii="Times New Roman" w:hAnsi="Times New Roman" w:cs="Times New Roman"/>
          <w:i/>
          <w:sz w:val="24"/>
          <w:szCs w:val="24"/>
        </w:rPr>
        <w:t xml:space="preserve">CT Bolts </w:t>
      </w:r>
      <w:r w:rsidRPr="001D62B1">
        <w:rPr>
          <w:rFonts w:ascii="Times New Roman" w:hAnsi="Times New Roman" w:cs="Times New Roman"/>
          <w:sz w:val="24"/>
          <w:szCs w:val="24"/>
        </w:rPr>
        <w:t xml:space="preserve">v </w:t>
      </w:r>
      <w:r w:rsidRPr="00F97BB4">
        <w:rPr>
          <w:rFonts w:ascii="Times New Roman" w:hAnsi="Times New Roman" w:cs="Times New Roman"/>
          <w:i/>
          <w:sz w:val="24"/>
          <w:szCs w:val="24"/>
        </w:rPr>
        <w:t xml:space="preserve">Workers Committee </w:t>
      </w:r>
      <w:r w:rsidRPr="001D62B1">
        <w:rPr>
          <w:rFonts w:ascii="Times New Roman" w:hAnsi="Times New Roman" w:cs="Times New Roman"/>
          <w:sz w:val="24"/>
          <w:szCs w:val="24"/>
        </w:rPr>
        <w:t>SC 16/12</w:t>
      </w:r>
      <w:r w:rsidRPr="00F97BB4">
        <w:rPr>
          <w:rFonts w:ascii="Times New Roman" w:hAnsi="Times New Roman" w:cs="Times New Roman"/>
          <w:i/>
          <w:sz w:val="24"/>
          <w:szCs w:val="24"/>
        </w:rPr>
        <w:t xml:space="preserve"> </w:t>
      </w:r>
      <w:r w:rsidRPr="00F97BB4">
        <w:rPr>
          <w:rFonts w:ascii="Times New Roman" w:hAnsi="Times New Roman" w:cs="Times New Roman"/>
          <w:sz w:val="24"/>
          <w:szCs w:val="24"/>
        </w:rPr>
        <w:t xml:space="preserve">at </w:t>
      </w:r>
      <w:r w:rsidR="00EC7869" w:rsidRPr="00F97BB4">
        <w:rPr>
          <w:rFonts w:ascii="Times New Roman" w:hAnsi="Times New Roman" w:cs="Times New Roman"/>
          <w:sz w:val="24"/>
          <w:szCs w:val="24"/>
        </w:rPr>
        <w:t>p.</w:t>
      </w:r>
      <w:r w:rsidRPr="00F97BB4">
        <w:rPr>
          <w:rFonts w:ascii="Times New Roman" w:hAnsi="Times New Roman" w:cs="Times New Roman"/>
          <w:sz w:val="24"/>
          <w:szCs w:val="24"/>
        </w:rPr>
        <w:t>2 where Garwe JA stated:</w:t>
      </w:r>
    </w:p>
    <w:p w:rsidR="00C90EE6" w:rsidRDefault="00C90EE6" w:rsidP="001D62B1">
      <w:pPr>
        <w:spacing w:after="0" w:line="240" w:lineRule="auto"/>
        <w:ind w:left="720"/>
        <w:jc w:val="both"/>
        <w:rPr>
          <w:rFonts w:ascii="Times New Roman" w:hAnsi="Times New Roman" w:cs="Times New Roman"/>
        </w:rPr>
      </w:pPr>
      <w:r w:rsidRPr="00983B07">
        <w:rPr>
          <w:rFonts w:ascii="Times New Roman" w:hAnsi="Times New Roman" w:cs="Times New Roman"/>
        </w:rPr>
        <w:t xml:space="preserve">“The Act has not made provision for the workers’ committee to operate as a legal </w:t>
      </w:r>
      <w:r w:rsidRPr="006D3FCB">
        <w:rPr>
          <w:rFonts w:ascii="Times New Roman" w:hAnsi="Times New Roman" w:cs="Times New Roman"/>
          <w:i/>
        </w:rPr>
        <w:t>persona</w:t>
      </w:r>
      <w:r w:rsidRPr="00983B07">
        <w:rPr>
          <w:rFonts w:ascii="Times New Roman" w:hAnsi="Times New Roman" w:cs="Times New Roman"/>
        </w:rPr>
        <w:t>. Had this been the intention, the Act would have no doubt said so.”</w:t>
      </w:r>
    </w:p>
    <w:p w:rsidR="001D62B1" w:rsidRPr="00983B07" w:rsidRDefault="001D62B1" w:rsidP="001D62B1">
      <w:pPr>
        <w:spacing w:after="0" w:line="240" w:lineRule="auto"/>
        <w:ind w:left="720"/>
        <w:jc w:val="both"/>
        <w:rPr>
          <w:rFonts w:ascii="Times New Roman" w:hAnsi="Times New Roman" w:cs="Times New Roman"/>
        </w:rPr>
      </w:pPr>
    </w:p>
    <w:p w:rsidR="00C90EE6" w:rsidRDefault="00EC7869" w:rsidP="001D62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also </w:t>
      </w:r>
      <w:r w:rsidRPr="00EC55F2">
        <w:rPr>
          <w:rFonts w:ascii="Times New Roman" w:hAnsi="Times New Roman" w:cs="Times New Roman"/>
          <w:i/>
          <w:sz w:val="24"/>
          <w:szCs w:val="24"/>
        </w:rPr>
        <w:t>Gweru Water Worker</w:t>
      </w:r>
      <w:r w:rsidR="00040646" w:rsidRPr="00EC55F2">
        <w:rPr>
          <w:rFonts w:ascii="Times New Roman" w:hAnsi="Times New Roman" w:cs="Times New Roman"/>
          <w:i/>
          <w:sz w:val="24"/>
          <w:szCs w:val="24"/>
        </w:rPr>
        <w:t xml:space="preserve">s Committee </w:t>
      </w:r>
      <w:r w:rsidR="00040646" w:rsidRPr="001D62B1">
        <w:rPr>
          <w:rFonts w:ascii="Times New Roman" w:hAnsi="Times New Roman" w:cs="Times New Roman"/>
          <w:sz w:val="24"/>
          <w:szCs w:val="24"/>
        </w:rPr>
        <w:t>v</w:t>
      </w:r>
      <w:r w:rsidR="00040646" w:rsidRPr="00EC55F2">
        <w:rPr>
          <w:rFonts w:ascii="Times New Roman" w:hAnsi="Times New Roman" w:cs="Times New Roman"/>
          <w:i/>
          <w:sz w:val="24"/>
          <w:szCs w:val="24"/>
        </w:rPr>
        <w:t xml:space="preserve"> City of Gweru </w:t>
      </w:r>
      <w:r w:rsidR="00040646" w:rsidRPr="006A7657">
        <w:rPr>
          <w:rFonts w:ascii="Times New Roman" w:hAnsi="Times New Roman" w:cs="Times New Roman"/>
          <w:sz w:val="24"/>
          <w:szCs w:val="24"/>
        </w:rPr>
        <w:t>SC 2</w:t>
      </w:r>
      <w:r w:rsidRPr="006A7657">
        <w:rPr>
          <w:rFonts w:ascii="Times New Roman" w:hAnsi="Times New Roman" w:cs="Times New Roman"/>
          <w:sz w:val="24"/>
          <w:szCs w:val="24"/>
        </w:rPr>
        <w:t>5/2015</w:t>
      </w:r>
      <w:r w:rsidR="00040646" w:rsidRPr="006A7657">
        <w:rPr>
          <w:rFonts w:ascii="Times New Roman" w:hAnsi="Times New Roman" w:cs="Times New Roman"/>
          <w:sz w:val="24"/>
          <w:szCs w:val="24"/>
        </w:rPr>
        <w:t xml:space="preserve"> </w:t>
      </w:r>
      <w:r w:rsidR="00040646">
        <w:rPr>
          <w:rFonts w:ascii="Times New Roman" w:hAnsi="Times New Roman" w:cs="Times New Roman"/>
          <w:sz w:val="24"/>
          <w:szCs w:val="24"/>
        </w:rPr>
        <w:t>at p.12</w:t>
      </w:r>
      <w:r>
        <w:rPr>
          <w:rFonts w:ascii="Times New Roman" w:hAnsi="Times New Roman" w:cs="Times New Roman"/>
          <w:sz w:val="24"/>
          <w:szCs w:val="24"/>
        </w:rPr>
        <w:t xml:space="preserve"> where Malaba DCJ had this to say</w:t>
      </w:r>
      <w:r w:rsidR="00040646">
        <w:rPr>
          <w:rFonts w:ascii="Times New Roman" w:hAnsi="Times New Roman" w:cs="Times New Roman"/>
          <w:sz w:val="24"/>
          <w:szCs w:val="24"/>
        </w:rPr>
        <w:t xml:space="preserve">, of s24 of the Labour Act </w:t>
      </w:r>
      <w:r w:rsidR="00517772">
        <w:rPr>
          <w:rFonts w:ascii="Times New Roman" w:hAnsi="Times New Roman" w:cs="Times New Roman"/>
          <w:sz w:val="24"/>
          <w:szCs w:val="24"/>
        </w:rPr>
        <w:t>[</w:t>
      </w:r>
      <w:r w:rsidR="00040646" w:rsidRPr="00517772">
        <w:rPr>
          <w:rFonts w:ascii="Times New Roman" w:hAnsi="Times New Roman" w:cs="Times New Roman"/>
          <w:i/>
          <w:sz w:val="24"/>
          <w:szCs w:val="24"/>
        </w:rPr>
        <w:t>C</w:t>
      </w:r>
      <w:r w:rsidR="00517772" w:rsidRPr="00517772">
        <w:rPr>
          <w:rFonts w:ascii="Times New Roman" w:hAnsi="Times New Roman" w:cs="Times New Roman"/>
          <w:i/>
          <w:sz w:val="24"/>
          <w:szCs w:val="24"/>
        </w:rPr>
        <w:t>hapter</w:t>
      </w:r>
      <w:r w:rsidR="00040646" w:rsidRPr="00517772">
        <w:rPr>
          <w:rFonts w:ascii="Times New Roman" w:hAnsi="Times New Roman" w:cs="Times New Roman"/>
          <w:i/>
          <w:sz w:val="24"/>
          <w:szCs w:val="24"/>
        </w:rPr>
        <w:t xml:space="preserve"> 28:01</w:t>
      </w:r>
      <w:r w:rsidR="00517772">
        <w:rPr>
          <w:rFonts w:ascii="Times New Roman" w:hAnsi="Times New Roman" w:cs="Times New Roman"/>
          <w:sz w:val="24"/>
          <w:szCs w:val="24"/>
        </w:rPr>
        <w:t>]</w:t>
      </w:r>
      <w:r>
        <w:rPr>
          <w:rFonts w:ascii="Times New Roman" w:hAnsi="Times New Roman" w:cs="Times New Roman"/>
          <w:sz w:val="24"/>
          <w:szCs w:val="24"/>
        </w:rPr>
        <w:t>:</w:t>
      </w:r>
    </w:p>
    <w:p w:rsidR="00EC7869" w:rsidRPr="00983B07" w:rsidRDefault="00EC7869" w:rsidP="00517772">
      <w:pPr>
        <w:spacing w:line="240" w:lineRule="auto"/>
        <w:ind w:left="720"/>
        <w:jc w:val="both"/>
        <w:rPr>
          <w:rFonts w:ascii="Times New Roman" w:hAnsi="Times New Roman" w:cs="Times New Roman"/>
        </w:rPr>
      </w:pPr>
      <w:r w:rsidRPr="00983B07">
        <w:rPr>
          <w:rFonts w:ascii="Times New Roman" w:hAnsi="Times New Roman" w:cs="Times New Roman"/>
        </w:rPr>
        <w:t xml:space="preserve">“The legislature did not intend that a body, acting in terms of s 24 should have capacity to sue and be sued.” </w:t>
      </w:r>
    </w:p>
    <w:p w:rsidR="00F464A9" w:rsidRDefault="00F464A9" w:rsidP="00CA06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my view that the</w:t>
      </w:r>
      <w:r w:rsidR="000C6EB5">
        <w:rPr>
          <w:rFonts w:ascii="Times New Roman" w:hAnsi="Times New Roman" w:cs="Times New Roman"/>
          <w:sz w:val="24"/>
          <w:szCs w:val="24"/>
        </w:rPr>
        <w:t xml:space="preserve"> </w:t>
      </w:r>
      <w:r w:rsidR="0085700B">
        <w:rPr>
          <w:rFonts w:ascii="Times New Roman" w:hAnsi="Times New Roman" w:cs="Times New Roman"/>
          <w:sz w:val="24"/>
          <w:szCs w:val="24"/>
        </w:rPr>
        <w:t xml:space="preserve">first </w:t>
      </w:r>
      <w:r w:rsidR="000C6EB5">
        <w:rPr>
          <w:rFonts w:ascii="Times New Roman" w:hAnsi="Times New Roman" w:cs="Times New Roman"/>
          <w:sz w:val="24"/>
          <w:szCs w:val="24"/>
        </w:rPr>
        <w:t>defendant</w:t>
      </w:r>
      <w:r>
        <w:rPr>
          <w:rFonts w:ascii="Times New Roman" w:hAnsi="Times New Roman" w:cs="Times New Roman"/>
          <w:sz w:val="24"/>
          <w:szCs w:val="24"/>
        </w:rPr>
        <w:t xml:space="preserve"> is a trust created b</w:t>
      </w:r>
      <w:r w:rsidR="00517772">
        <w:rPr>
          <w:rFonts w:ascii="Times New Roman" w:hAnsi="Times New Roman" w:cs="Times New Roman"/>
          <w:sz w:val="24"/>
          <w:szCs w:val="24"/>
        </w:rPr>
        <w:t xml:space="preserve">y statute as clearly stated in s </w:t>
      </w:r>
      <w:r>
        <w:rPr>
          <w:rFonts w:ascii="Times New Roman" w:hAnsi="Times New Roman" w:cs="Times New Roman"/>
          <w:sz w:val="24"/>
          <w:szCs w:val="24"/>
        </w:rPr>
        <w:t>3</w:t>
      </w:r>
      <w:r w:rsidR="00517772">
        <w:rPr>
          <w:rFonts w:ascii="Times New Roman" w:hAnsi="Times New Roman" w:cs="Times New Roman"/>
          <w:sz w:val="24"/>
          <w:szCs w:val="24"/>
        </w:rPr>
        <w:t xml:space="preserve"> </w:t>
      </w:r>
      <w:r>
        <w:rPr>
          <w:rFonts w:ascii="Times New Roman" w:hAnsi="Times New Roman" w:cs="Times New Roman"/>
          <w:sz w:val="24"/>
          <w:szCs w:val="24"/>
        </w:rPr>
        <w:t>(1) and (2</w:t>
      </w:r>
      <w:r w:rsidR="00E9528F">
        <w:rPr>
          <w:rFonts w:ascii="Times New Roman" w:hAnsi="Times New Roman" w:cs="Times New Roman"/>
          <w:sz w:val="24"/>
          <w:szCs w:val="24"/>
        </w:rPr>
        <w:t>)</w:t>
      </w:r>
      <w:r w:rsidR="008D465B">
        <w:rPr>
          <w:rFonts w:ascii="Times New Roman" w:hAnsi="Times New Roman" w:cs="Times New Roman"/>
          <w:sz w:val="24"/>
          <w:szCs w:val="24"/>
        </w:rPr>
        <w:t xml:space="preserve"> </w:t>
      </w:r>
      <w:r w:rsidR="00264D5D">
        <w:rPr>
          <w:rFonts w:ascii="Times New Roman" w:hAnsi="Times New Roman" w:cs="Times New Roman"/>
          <w:sz w:val="24"/>
          <w:szCs w:val="24"/>
        </w:rPr>
        <w:t>of [</w:t>
      </w:r>
      <w:r w:rsidR="00264D5D" w:rsidRPr="00264D5D">
        <w:rPr>
          <w:rFonts w:ascii="Times New Roman" w:hAnsi="Times New Roman" w:cs="Times New Roman"/>
          <w:i/>
          <w:sz w:val="24"/>
          <w:szCs w:val="24"/>
        </w:rPr>
        <w:t>Chapter</w:t>
      </w:r>
      <w:r w:rsidR="008D465B" w:rsidRPr="00264D5D">
        <w:rPr>
          <w:rFonts w:ascii="Times New Roman" w:hAnsi="Times New Roman" w:cs="Times New Roman"/>
          <w:i/>
          <w:sz w:val="24"/>
          <w:szCs w:val="24"/>
        </w:rPr>
        <w:t xml:space="preserve"> 29:06</w:t>
      </w:r>
      <w:r w:rsidR="00264D5D">
        <w:rPr>
          <w:rFonts w:ascii="Times New Roman" w:hAnsi="Times New Roman" w:cs="Times New Roman"/>
          <w:sz w:val="24"/>
          <w:szCs w:val="24"/>
        </w:rPr>
        <w:t>]</w:t>
      </w:r>
      <w:r w:rsidR="008D465B">
        <w:rPr>
          <w:rFonts w:ascii="Times New Roman" w:hAnsi="Times New Roman" w:cs="Times New Roman"/>
          <w:sz w:val="24"/>
          <w:szCs w:val="24"/>
        </w:rPr>
        <w:t xml:space="preserve">. </w:t>
      </w:r>
      <w:r w:rsidR="000C6EB5">
        <w:rPr>
          <w:rFonts w:ascii="Times New Roman" w:hAnsi="Times New Roman" w:cs="Times New Roman"/>
          <w:sz w:val="24"/>
          <w:szCs w:val="24"/>
        </w:rPr>
        <w:t xml:space="preserve">Hence, both statutorily and at general aw, it has no legal </w:t>
      </w:r>
      <w:r w:rsidR="000C6EB5" w:rsidRPr="000C6EB5">
        <w:rPr>
          <w:rFonts w:ascii="Times New Roman" w:hAnsi="Times New Roman" w:cs="Times New Roman"/>
          <w:i/>
          <w:sz w:val="24"/>
          <w:szCs w:val="24"/>
        </w:rPr>
        <w:t>persona</w:t>
      </w:r>
      <w:r w:rsidR="000C6EB5">
        <w:rPr>
          <w:rFonts w:ascii="Times New Roman" w:hAnsi="Times New Roman" w:cs="Times New Roman"/>
          <w:sz w:val="24"/>
          <w:szCs w:val="24"/>
        </w:rPr>
        <w:t xml:space="preserve">. </w:t>
      </w:r>
      <w:r w:rsidR="00E9528F">
        <w:rPr>
          <w:rFonts w:ascii="Times New Roman" w:hAnsi="Times New Roman" w:cs="Times New Roman"/>
          <w:sz w:val="24"/>
          <w:szCs w:val="24"/>
        </w:rPr>
        <w:t xml:space="preserve">I am therefore persuaded that the law relating to </w:t>
      </w:r>
      <w:r w:rsidR="00280201">
        <w:rPr>
          <w:rFonts w:ascii="Times New Roman" w:hAnsi="Times New Roman" w:cs="Times New Roman"/>
          <w:sz w:val="24"/>
          <w:szCs w:val="24"/>
        </w:rPr>
        <w:t xml:space="preserve">the legal </w:t>
      </w:r>
      <w:r w:rsidR="00280201" w:rsidRPr="00280201">
        <w:rPr>
          <w:rFonts w:ascii="Times New Roman" w:hAnsi="Times New Roman" w:cs="Times New Roman"/>
          <w:i/>
          <w:sz w:val="24"/>
          <w:szCs w:val="24"/>
        </w:rPr>
        <w:t>persona</w:t>
      </w:r>
      <w:r w:rsidR="00280201">
        <w:rPr>
          <w:rFonts w:ascii="Times New Roman" w:hAnsi="Times New Roman" w:cs="Times New Roman"/>
          <w:sz w:val="24"/>
          <w:szCs w:val="24"/>
        </w:rPr>
        <w:t xml:space="preserve"> of </w:t>
      </w:r>
      <w:r w:rsidR="00E9528F">
        <w:rPr>
          <w:rFonts w:ascii="Times New Roman" w:hAnsi="Times New Roman" w:cs="Times New Roman"/>
          <w:sz w:val="24"/>
          <w:szCs w:val="24"/>
        </w:rPr>
        <w:t xml:space="preserve">any other trust as enunciated in </w:t>
      </w:r>
      <w:r w:rsidR="00E9528F" w:rsidRPr="00EC55F2">
        <w:rPr>
          <w:rFonts w:ascii="Times New Roman" w:hAnsi="Times New Roman" w:cs="Times New Roman"/>
          <w:i/>
          <w:sz w:val="24"/>
          <w:szCs w:val="24"/>
        </w:rPr>
        <w:t xml:space="preserve">WLSA and Ors </w:t>
      </w:r>
      <w:r w:rsidR="00E9528F" w:rsidRPr="00AA31C4">
        <w:rPr>
          <w:rFonts w:ascii="Times New Roman" w:hAnsi="Times New Roman" w:cs="Times New Roman"/>
          <w:sz w:val="24"/>
          <w:szCs w:val="24"/>
        </w:rPr>
        <w:t>v</w:t>
      </w:r>
      <w:r w:rsidR="00E9528F" w:rsidRPr="00EC55F2">
        <w:rPr>
          <w:rFonts w:ascii="Times New Roman" w:hAnsi="Times New Roman" w:cs="Times New Roman"/>
          <w:i/>
          <w:sz w:val="24"/>
          <w:szCs w:val="24"/>
        </w:rPr>
        <w:t xml:space="preserve"> Mandaza and Ors </w:t>
      </w:r>
      <w:r w:rsidR="00E9528F" w:rsidRPr="00AA31C4">
        <w:rPr>
          <w:rFonts w:ascii="Times New Roman" w:hAnsi="Times New Roman" w:cs="Times New Roman"/>
          <w:sz w:val="24"/>
          <w:szCs w:val="24"/>
        </w:rPr>
        <w:t>2003</w:t>
      </w:r>
      <w:r w:rsidR="00111D09">
        <w:rPr>
          <w:rFonts w:ascii="Times New Roman" w:hAnsi="Times New Roman" w:cs="Times New Roman"/>
          <w:sz w:val="24"/>
          <w:szCs w:val="24"/>
        </w:rPr>
        <w:t xml:space="preserve"> </w:t>
      </w:r>
      <w:r w:rsidR="00E9528F" w:rsidRPr="00AA31C4">
        <w:rPr>
          <w:rFonts w:ascii="Times New Roman" w:hAnsi="Times New Roman" w:cs="Times New Roman"/>
          <w:sz w:val="24"/>
          <w:szCs w:val="24"/>
        </w:rPr>
        <w:t>(1) ZLR 500</w:t>
      </w:r>
      <w:r w:rsidR="00E9528F">
        <w:rPr>
          <w:rFonts w:ascii="Times New Roman" w:hAnsi="Times New Roman" w:cs="Times New Roman"/>
          <w:sz w:val="24"/>
          <w:szCs w:val="24"/>
        </w:rPr>
        <w:t xml:space="preserve">, </w:t>
      </w:r>
      <w:r w:rsidR="00E9528F" w:rsidRPr="00EC55F2">
        <w:rPr>
          <w:rFonts w:ascii="Times New Roman" w:hAnsi="Times New Roman" w:cs="Times New Roman"/>
          <w:i/>
          <w:sz w:val="24"/>
          <w:szCs w:val="24"/>
        </w:rPr>
        <w:t>Crundall Bros (Pvt</w:t>
      </w:r>
      <w:r w:rsidR="00280201">
        <w:rPr>
          <w:rFonts w:ascii="Times New Roman" w:hAnsi="Times New Roman" w:cs="Times New Roman"/>
          <w:i/>
          <w:sz w:val="24"/>
          <w:szCs w:val="24"/>
        </w:rPr>
        <w:t xml:space="preserve">) Ltd </w:t>
      </w:r>
      <w:r w:rsidR="00280201" w:rsidRPr="0085700B">
        <w:rPr>
          <w:rFonts w:ascii="Times New Roman" w:hAnsi="Times New Roman" w:cs="Times New Roman"/>
          <w:sz w:val="24"/>
          <w:szCs w:val="24"/>
        </w:rPr>
        <w:t>v</w:t>
      </w:r>
      <w:r w:rsidR="00280201">
        <w:rPr>
          <w:rFonts w:ascii="Times New Roman" w:hAnsi="Times New Roman" w:cs="Times New Roman"/>
          <w:i/>
          <w:sz w:val="24"/>
          <w:szCs w:val="24"/>
        </w:rPr>
        <w:t xml:space="preserve"> Lazarus N.O. and Nor </w:t>
      </w:r>
      <w:r w:rsidR="00280201" w:rsidRPr="00AA31C4">
        <w:rPr>
          <w:rFonts w:ascii="Times New Roman" w:hAnsi="Times New Roman" w:cs="Times New Roman"/>
          <w:sz w:val="24"/>
          <w:szCs w:val="24"/>
        </w:rPr>
        <w:t>19</w:t>
      </w:r>
      <w:r w:rsidR="00E9528F" w:rsidRPr="00AA31C4">
        <w:rPr>
          <w:rFonts w:ascii="Times New Roman" w:hAnsi="Times New Roman" w:cs="Times New Roman"/>
          <w:sz w:val="24"/>
          <w:szCs w:val="24"/>
        </w:rPr>
        <w:t>90 (1) ZLR 290</w:t>
      </w:r>
      <w:r w:rsidR="00E9528F">
        <w:rPr>
          <w:rFonts w:ascii="Times New Roman" w:hAnsi="Times New Roman" w:cs="Times New Roman"/>
          <w:sz w:val="24"/>
          <w:szCs w:val="24"/>
        </w:rPr>
        <w:t xml:space="preserve"> and other cases </w:t>
      </w:r>
      <w:r w:rsidR="000C6EB5">
        <w:rPr>
          <w:rFonts w:ascii="Times New Roman" w:hAnsi="Times New Roman" w:cs="Times New Roman"/>
          <w:sz w:val="24"/>
          <w:szCs w:val="24"/>
        </w:rPr>
        <w:t>is applicable in this case</w:t>
      </w:r>
      <w:r w:rsidR="00E9528F">
        <w:rPr>
          <w:rFonts w:ascii="Times New Roman" w:hAnsi="Times New Roman" w:cs="Times New Roman"/>
          <w:sz w:val="24"/>
          <w:szCs w:val="24"/>
        </w:rPr>
        <w:t xml:space="preserve">, particularly since </w:t>
      </w:r>
      <w:r w:rsidR="00AA31C4">
        <w:rPr>
          <w:rFonts w:ascii="Times New Roman" w:hAnsi="Times New Roman" w:cs="Times New Roman"/>
          <w:sz w:val="24"/>
          <w:szCs w:val="24"/>
        </w:rPr>
        <w:t xml:space="preserve">the </w:t>
      </w:r>
      <w:r w:rsidR="00E9528F">
        <w:rPr>
          <w:rFonts w:ascii="Times New Roman" w:hAnsi="Times New Roman" w:cs="Times New Roman"/>
          <w:sz w:val="24"/>
          <w:szCs w:val="24"/>
        </w:rPr>
        <w:t>plaintiff advances no case law to the contrary.</w:t>
      </w:r>
      <w:r w:rsidR="003D621A">
        <w:rPr>
          <w:rFonts w:ascii="Times New Roman" w:hAnsi="Times New Roman" w:cs="Times New Roman"/>
          <w:sz w:val="24"/>
          <w:szCs w:val="24"/>
        </w:rPr>
        <w:t xml:space="preserve"> </w:t>
      </w:r>
    </w:p>
    <w:p w:rsidR="00A12575" w:rsidRDefault="00DF4BCB" w:rsidP="00E952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w:t>
      </w:r>
      <w:r w:rsidR="00F97BB4">
        <w:rPr>
          <w:rFonts w:ascii="Times New Roman" w:hAnsi="Times New Roman" w:cs="Times New Roman"/>
          <w:sz w:val="24"/>
          <w:szCs w:val="24"/>
        </w:rPr>
        <w:t>, I am not convinced that</w:t>
      </w:r>
      <w:r w:rsidR="00E9528F">
        <w:rPr>
          <w:rFonts w:ascii="Times New Roman" w:hAnsi="Times New Roman" w:cs="Times New Roman"/>
          <w:sz w:val="24"/>
          <w:szCs w:val="24"/>
        </w:rPr>
        <w:t xml:space="preserve"> </w:t>
      </w:r>
      <w:r w:rsidR="0085700B">
        <w:rPr>
          <w:rFonts w:ascii="Times New Roman" w:hAnsi="Times New Roman" w:cs="Times New Roman"/>
          <w:sz w:val="24"/>
          <w:szCs w:val="24"/>
        </w:rPr>
        <w:t xml:space="preserve">the first </w:t>
      </w:r>
      <w:r w:rsidR="000C6EB5">
        <w:rPr>
          <w:rFonts w:ascii="Times New Roman" w:hAnsi="Times New Roman" w:cs="Times New Roman"/>
          <w:sz w:val="24"/>
          <w:szCs w:val="24"/>
        </w:rPr>
        <w:t>defendant</w:t>
      </w:r>
      <w:r w:rsidR="00E9528F">
        <w:rPr>
          <w:rFonts w:ascii="Times New Roman" w:hAnsi="Times New Roman" w:cs="Times New Roman"/>
          <w:sz w:val="24"/>
          <w:szCs w:val="24"/>
        </w:rPr>
        <w:t xml:space="preserve"> is </w:t>
      </w:r>
      <w:r w:rsidR="006F1A61">
        <w:rPr>
          <w:rFonts w:ascii="Times New Roman" w:hAnsi="Times New Roman" w:cs="Times New Roman"/>
          <w:sz w:val="24"/>
          <w:szCs w:val="24"/>
        </w:rPr>
        <w:t>a mere department of M</w:t>
      </w:r>
      <w:r w:rsidR="00F464A9">
        <w:rPr>
          <w:rFonts w:ascii="Times New Roman" w:hAnsi="Times New Roman" w:cs="Times New Roman"/>
          <w:sz w:val="24"/>
          <w:szCs w:val="24"/>
        </w:rPr>
        <w:t>inistry</w:t>
      </w:r>
      <w:r w:rsidR="006F1A61">
        <w:rPr>
          <w:rFonts w:ascii="Times New Roman" w:hAnsi="Times New Roman" w:cs="Times New Roman"/>
          <w:sz w:val="24"/>
          <w:szCs w:val="24"/>
        </w:rPr>
        <w:t xml:space="preserve"> of Local Government, Rural and Urban Development</w:t>
      </w:r>
      <w:r>
        <w:rPr>
          <w:rFonts w:ascii="Times New Roman" w:hAnsi="Times New Roman" w:cs="Times New Roman"/>
          <w:sz w:val="24"/>
          <w:szCs w:val="24"/>
        </w:rPr>
        <w:t xml:space="preserve"> citation of which may be permissible in </w:t>
      </w:r>
      <w:r>
        <w:rPr>
          <w:rFonts w:ascii="Times New Roman" w:hAnsi="Times New Roman" w:cs="Times New Roman"/>
          <w:sz w:val="24"/>
          <w:szCs w:val="24"/>
        </w:rPr>
        <w:lastRenderedPageBreak/>
        <w:t>terms of s3 of the State Liabilities Act</w:t>
      </w:r>
      <w:r w:rsidR="006F1A61">
        <w:rPr>
          <w:rFonts w:ascii="Times New Roman" w:hAnsi="Times New Roman" w:cs="Times New Roman"/>
          <w:sz w:val="24"/>
          <w:szCs w:val="24"/>
        </w:rPr>
        <w:t>. I</w:t>
      </w:r>
      <w:r w:rsidR="00E9528F">
        <w:rPr>
          <w:rFonts w:ascii="Times New Roman" w:hAnsi="Times New Roman" w:cs="Times New Roman"/>
          <w:sz w:val="24"/>
          <w:szCs w:val="24"/>
        </w:rPr>
        <w:t>n terms of s</w:t>
      </w:r>
      <w:r w:rsidR="006F67F4">
        <w:rPr>
          <w:rFonts w:ascii="Times New Roman" w:hAnsi="Times New Roman" w:cs="Times New Roman"/>
          <w:sz w:val="24"/>
          <w:szCs w:val="24"/>
        </w:rPr>
        <w:t xml:space="preserve"> </w:t>
      </w:r>
      <w:r w:rsidR="00E9528F">
        <w:rPr>
          <w:rFonts w:ascii="Times New Roman" w:hAnsi="Times New Roman" w:cs="Times New Roman"/>
          <w:sz w:val="24"/>
          <w:szCs w:val="24"/>
        </w:rPr>
        <w:t>2</w:t>
      </w:r>
      <w:r w:rsidR="008D465B">
        <w:rPr>
          <w:rFonts w:ascii="Times New Roman" w:hAnsi="Times New Roman" w:cs="Times New Roman"/>
          <w:sz w:val="24"/>
          <w:szCs w:val="24"/>
        </w:rPr>
        <w:t xml:space="preserve"> of </w:t>
      </w:r>
      <w:r w:rsidR="006F67F4">
        <w:rPr>
          <w:rFonts w:ascii="Times New Roman" w:hAnsi="Times New Roman" w:cs="Times New Roman"/>
          <w:sz w:val="24"/>
          <w:szCs w:val="24"/>
        </w:rPr>
        <w:t>[</w:t>
      </w:r>
      <w:r w:rsidR="008D465B" w:rsidRPr="006F67F4">
        <w:rPr>
          <w:rFonts w:ascii="Times New Roman" w:hAnsi="Times New Roman" w:cs="Times New Roman"/>
          <w:i/>
          <w:sz w:val="24"/>
          <w:szCs w:val="24"/>
        </w:rPr>
        <w:t>C</w:t>
      </w:r>
      <w:r w:rsidR="006F67F4" w:rsidRPr="006F67F4">
        <w:rPr>
          <w:rFonts w:ascii="Times New Roman" w:hAnsi="Times New Roman" w:cs="Times New Roman"/>
          <w:i/>
          <w:sz w:val="24"/>
          <w:szCs w:val="24"/>
        </w:rPr>
        <w:t>hapter</w:t>
      </w:r>
      <w:r w:rsidR="008D465B" w:rsidRPr="006F67F4">
        <w:rPr>
          <w:rFonts w:ascii="Times New Roman" w:hAnsi="Times New Roman" w:cs="Times New Roman"/>
          <w:i/>
          <w:sz w:val="24"/>
          <w:szCs w:val="24"/>
        </w:rPr>
        <w:t xml:space="preserve"> 29:06</w:t>
      </w:r>
      <w:r w:rsidR="006F67F4">
        <w:rPr>
          <w:rFonts w:ascii="Times New Roman" w:hAnsi="Times New Roman" w:cs="Times New Roman"/>
          <w:sz w:val="24"/>
          <w:szCs w:val="24"/>
        </w:rPr>
        <w:t>]</w:t>
      </w:r>
      <w:r w:rsidR="00E9528F">
        <w:rPr>
          <w:rFonts w:ascii="Times New Roman" w:hAnsi="Times New Roman" w:cs="Times New Roman"/>
          <w:sz w:val="24"/>
          <w:szCs w:val="24"/>
        </w:rPr>
        <w:t>,</w:t>
      </w:r>
      <w:r w:rsidR="00F464A9">
        <w:rPr>
          <w:rFonts w:ascii="Times New Roman" w:hAnsi="Times New Roman" w:cs="Times New Roman"/>
          <w:sz w:val="24"/>
          <w:szCs w:val="24"/>
        </w:rPr>
        <w:t xml:space="preserve"> it is </w:t>
      </w:r>
      <w:r w:rsidR="008D465B">
        <w:rPr>
          <w:rFonts w:ascii="Times New Roman" w:hAnsi="Times New Roman" w:cs="Times New Roman"/>
          <w:sz w:val="24"/>
          <w:szCs w:val="24"/>
        </w:rPr>
        <w:t xml:space="preserve">a </w:t>
      </w:r>
      <w:r w:rsidR="00E9528F">
        <w:rPr>
          <w:rFonts w:ascii="Times New Roman" w:hAnsi="Times New Roman" w:cs="Times New Roman"/>
          <w:sz w:val="24"/>
          <w:szCs w:val="24"/>
        </w:rPr>
        <w:t>stand-alone</w:t>
      </w:r>
      <w:r w:rsidR="00F464A9">
        <w:rPr>
          <w:rFonts w:ascii="Times New Roman" w:hAnsi="Times New Roman" w:cs="Times New Roman"/>
          <w:sz w:val="24"/>
          <w:szCs w:val="24"/>
        </w:rPr>
        <w:t xml:space="preserve"> fund which </w:t>
      </w:r>
      <w:r w:rsidR="006F1A61">
        <w:rPr>
          <w:rFonts w:ascii="Times New Roman" w:hAnsi="Times New Roman" w:cs="Times New Roman"/>
          <w:sz w:val="24"/>
          <w:szCs w:val="24"/>
        </w:rPr>
        <w:t>is capable of being assigned to the trusteeship and administration of</w:t>
      </w:r>
      <w:r w:rsidR="00F464A9">
        <w:rPr>
          <w:rFonts w:ascii="Times New Roman" w:hAnsi="Times New Roman" w:cs="Times New Roman"/>
          <w:sz w:val="24"/>
          <w:szCs w:val="24"/>
        </w:rPr>
        <w:t xml:space="preserve"> any minister or ministry</w:t>
      </w:r>
      <w:r w:rsidR="00E9528F">
        <w:rPr>
          <w:rFonts w:ascii="Times New Roman" w:hAnsi="Times New Roman" w:cs="Times New Roman"/>
          <w:sz w:val="24"/>
          <w:szCs w:val="24"/>
        </w:rPr>
        <w:t xml:space="preserve">. Its purpose and objective is not so integral to any ministry that it cannot be excised without affecting the integrity, either of itself or of that ministry. </w:t>
      </w:r>
    </w:p>
    <w:p w:rsidR="00E9528F" w:rsidRDefault="00DF4BCB" w:rsidP="00E952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any event</w:t>
      </w:r>
      <w:r w:rsidR="00E9528F">
        <w:rPr>
          <w:rFonts w:ascii="Times New Roman" w:hAnsi="Times New Roman" w:cs="Times New Roman"/>
          <w:sz w:val="24"/>
          <w:szCs w:val="24"/>
        </w:rPr>
        <w:t>, even though s</w:t>
      </w:r>
      <w:r w:rsidR="00945528">
        <w:rPr>
          <w:rFonts w:ascii="Times New Roman" w:hAnsi="Times New Roman" w:cs="Times New Roman"/>
          <w:sz w:val="24"/>
          <w:szCs w:val="24"/>
        </w:rPr>
        <w:t xml:space="preserve"> </w:t>
      </w:r>
      <w:r w:rsidR="00E9528F">
        <w:rPr>
          <w:rFonts w:ascii="Times New Roman" w:hAnsi="Times New Roman" w:cs="Times New Roman"/>
          <w:sz w:val="24"/>
          <w:szCs w:val="24"/>
        </w:rPr>
        <w:t xml:space="preserve">3 of the State Liabilities Act </w:t>
      </w:r>
      <w:r w:rsidR="000C6EB5">
        <w:rPr>
          <w:rFonts w:ascii="Times New Roman" w:hAnsi="Times New Roman" w:cs="Times New Roman"/>
          <w:sz w:val="24"/>
          <w:szCs w:val="24"/>
        </w:rPr>
        <w:t>appears to be</w:t>
      </w:r>
      <w:r w:rsidR="00E9528F">
        <w:rPr>
          <w:rFonts w:ascii="Times New Roman" w:hAnsi="Times New Roman" w:cs="Times New Roman"/>
          <w:sz w:val="24"/>
          <w:szCs w:val="24"/>
        </w:rPr>
        <w:t xml:space="preserve"> couched in permissive terms, </w:t>
      </w:r>
      <w:r w:rsidR="008D465B">
        <w:rPr>
          <w:rFonts w:ascii="Times New Roman" w:hAnsi="Times New Roman" w:cs="Times New Roman"/>
          <w:sz w:val="24"/>
          <w:szCs w:val="24"/>
        </w:rPr>
        <w:t>plaintiff cites no authority for his assertion that it is not fatal to fail to cite the relevant Minister</w:t>
      </w:r>
      <w:r>
        <w:rPr>
          <w:rFonts w:ascii="Times New Roman" w:hAnsi="Times New Roman" w:cs="Times New Roman"/>
          <w:sz w:val="24"/>
          <w:szCs w:val="24"/>
        </w:rPr>
        <w:t xml:space="preserve"> in whom the legal </w:t>
      </w:r>
      <w:r w:rsidRPr="00DF4BCB">
        <w:rPr>
          <w:rFonts w:ascii="Times New Roman" w:hAnsi="Times New Roman" w:cs="Times New Roman"/>
          <w:i/>
          <w:sz w:val="24"/>
          <w:szCs w:val="24"/>
        </w:rPr>
        <w:t>persona</w:t>
      </w:r>
      <w:r>
        <w:rPr>
          <w:rFonts w:ascii="Times New Roman" w:hAnsi="Times New Roman" w:cs="Times New Roman"/>
          <w:sz w:val="24"/>
          <w:szCs w:val="24"/>
        </w:rPr>
        <w:t xml:space="preserve"> of the fund vests</w:t>
      </w:r>
      <w:r w:rsidR="008D465B">
        <w:rPr>
          <w:rFonts w:ascii="Times New Roman" w:hAnsi="Times New Roman" w:cs="Times New Roman"/>
          <w:sz w:val="24"/>
          <w:szCs w:val="24"/>
        </w:rPr>
        <w:t xml:space="preserve">. </w:t>
      </w:r>
      <w:r w:rsidR="00A12575">
        <w:rPr>
          <w:rFonts w:ascii="Times New Roman" w:hAnsi="Times New Roman" w:cs="Times New Roman"/>
          <w:sz w:val="24"/>
          <w:szCs w:val="24"/>
        </w:rPr>
        <w:t>On the contrary, it is my view that a</w:t>
      </w:r>
      <w:r w:rsidR="008D465B">
        <w:rPr>
          <w:rFonts w:ascii="Times New Roman" w:hAnsi="Times New Roman" w:cs="Times New Roman"/>
          <w:sz w:val="24"/>
          <w:szCs w:val="24"/>
        </w:rPr>
        <w:t xml:space="preserve"> presumption is </w:t>
      </w:r>
      <w:r w:rsidR="00A12575">
        <w:rPr>
          <w:rFonts w:ascii="Times New Roman" w:hAnsi="Times New Roman" w:cs="Times New Roman"/>
          <w:sz w:val="24"/>
          <w:szCs w:val="24"/>
        </w:rPr>
        <w:t xml:space="preserve">raised </w:t>
      </w:r>
      <w:r w:rsidR="008D465B">
        <w:rPr>
          <w:rFonts w:ascii="Times New Roman" w:hAnsi="Times New Roman" w:cs="Times New Roman"/>
          <w:sz w:val="24"/>
          <w:szCs w:val="24"/>
        </w:rPr>
        <w:t xml:space="preserve">that </w:t>
      </w:r>
      <w:r w:rsidR="00EC55F2">
        <w:rPr>
          <w:rFonts w:ascii="Times New Roman" w:hAnsi="Times New Roman" w:cs="Times New Roman"/>
          <w:sz w:val="24"/>
          <w:szCs w:val="24"/>
        </w:rPr>
        <w:t xml:space="preserve">the </w:t>
      </w:r>
      <w:r w:rsidR="008D465B">
        <w:rPr>
          <w:rFonts w:ascii="Times New Roman" w:hAnsi="Times New Roman" w:cs="Times New Roman"/>
          <w:sz w:val="24"/>
          <w:szCs w:val="24"/>
        </w:rPr>
        <w:t>citation on court process must follow the schedule of persons (in their official capacities) on whom notice to sue must be served in accordance with s</w:t>
      </w:r>
      <w:r w:rsidR="00945528">
        <w:rPr>
          <w:rFonts w:ascii="Times New Roman" w:hAnsi="Times New Roman" w:cs="Times New Roman"/>
          <w:sz w:val="24"/>
          <w:szCs w:val="24"/>
        </w:rPr>
        <w:t xml:space="preserve"> </w:t>
      </w:r>
      <w:r w:rsidR="008D465B">
        <w:rPr>
          <w:rFonts w:ascii="Times New Roman" w:hAnsi="Times New Roman" w:cs="Times New Roman"/>
          <w:sz w:val="24"/>
          <w:szCs w:val="24"/>
        </w:rPr>
        <w:t>6 of</w:t>
      </w:r>
      <w:r w:rsidR="00EC55F2">
        <w:rPr>
          <w:rFonts w:ascii="Times New Roman" w:hAnsi="Times New Roman" w:cs="Times New Roman"/>
          <w:sz w:val="24"/>
          <w:szCs w:val="24"/>
        </w:rPr>
        <w:t xml:space="preserve"> </w:t>
      </w:r>
      <w:r w:rsidR="00945528">
        <w:rPr>
          <w:rFonts w:ascii="Times New Roman" w:hAnsi="Times New Roman" w:cs="Times New Roman"/>
          <w:sz w:val="24"/>
          <w:szCs w:val="24"/>
        </w:rPr>
        <w:t>[</w:t>
      </w:r>
      <w:r w:rsidR="00945528" w:rsidRPr="00945528">
        <w:rPr>
          <w:rFonts w:ascii="Times New Roman" w:hAnsi="Times New Roman" w:cs="Times New Roman"/>
          <w:i/>
          <w:sz w:val="24"/>
          <w:szCs w:val="24"/>
        </w:rPr>
        <w:t xml:space="preserve">Chapter </w:t>
      </w:r>
      <w:r w:rsidR="00EC55F2" w:rsidRPr="00945528">
        <w:rPr>
          <w:rFonts w:ascii="Times New Roman" w:hAnsi="Times New Roman" w:cs="Times New Roman"/>
          <w:i/>
          <w:sz w:val="24"/>
          <w:szCs w:val="24"/>
        </w:rPr>
        <w:t>8:14</w:t>
      </w:r>
      <w:r w:rsidR="00945528">
        <w:rPr>
          <w:rFonts w:ascii="Times New Roman" w:hAnsi="Times New Roman" w:cs="Times New Roman"/>
          <w:sz w:val="24"/>
          <w:szCs w:val="24"/>
        </w:rPr>
        <w:t>]</w:t>
      </w:r>
      <w:r w:rsidR="00EC55F2">
        <w:rPr>
          <w:rFonts w:ascii="Times New Roman" w:hAnsi="Times New Roman" w:cs="Times New Roman"/>
          <w:sz w:val="24"/>
          <w:szCs w:val="24"/>
        </w:rPr>
        <w:t>.</w:t>
      </w:r>
      <w:r w:rsidR="008D465B">
        <w:rPr>
          <w:rFonts w:ascii="Times New Roman" w:hAnsi="Times New Roman" w:cs="Times New Roman"/>
          <w:sz w:val="24"/>
          <w:szCs w:val="24"/>
        </w:rPr>
        <w:t xml:space="preserve"> </w:t>
      </w:r>
    </w:p>
    <w:p w:rsidR="00582064" w:rsidRDefault="00E9528F" w:rsidP="00E952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I agree that </w:t>
      </w:r>
      <w:r w:rsidR="00EC55F2">
        <w:rPr>
          <w:rFonts w:ascii="Times New Roman" w:hAnsi="Times New Roman" w:cs="Times New Roman"/>
          <w:sz w:val="24"/>
          <w:szCs w:val="24"/>
        </w:rPr>
        <w:t xml:space="preserve">the </w:t>
      </w:r>
      <w:r w:rsidR="006D16A4">
        <w:rPr>
          <w:rFonts w:ascii="Times New Roman" w:hAnsi="Times New Roman" w:cs="Times New Roman"/>
          <w:sz w:val="24"/>
          <w:szCs w:val="24"/>
        </w:rPr>
        <w:t>first</w:t>
      </w:r>
      <w:r w:rsidR="000C6EB5">
        <w:rPr>
          <w:rFonts w:ascii="Times New Roman" w:hAnsi="Times New Roman" w:cs="Times New Roman"/>
          <w:sz w:val="24"/>
          <w:szCs w:val="24"/>
        </w:rPr>
        <w:t xml:space="preserve"> defendant</w:t>
      </w:r>
      <w:r>
        <w:rPr>
          <w:rFonts w:ascii="Times New Roman" w:hAnsi="Times New Roman" w:cs="Times New Roman"/>
          <w:sz w:val="24"/>
          <w:szCs w:val="24"/>
        </w:rPr>
        <w:t xml:space="preserve"> is a statutory body, the significance of the principle cited by </w:t>
      </w:r>
      <w:r w:rsidR="00EC55F2">
        <w:rPr>
          <w:rFonts w:ascii="Times New Roman" w:hAnsi="Times New Roman" w:cs="Times New Roman"/>
          <w:sz w:val="24"/>
          <w:szCs w:val="24"/>
        </w:rPr>
        <w:t>Garwe JA and Malaba DCJ in</w:t>
      </w:r>
      <w:r w:rsidR="00EC55F2" w:rsidRPr="00EC55F2">
        <w:rPr>
          <w:rFonts w:ascii="Times New Roman" w:hAnsi="Times New Roman" w:cs="Times New Roman"/>
          <w:i/>
          <w:sz w:val="24"/>
          <w:szCs w:val="24"/>
        </w:rPr>
        <w:t xml:space="preserve"> CT Bolts (supra</w:t>
      </w:r>
      <w:r w:rsidR="00EC55F2">
        <w:rPr>
          <w:rFonts w:ascii="Times New Roman" w:hAnsi="Times New Roman" w:cs="Times New Roman"/>
          <w:sz w:val="24"/>
          <w:szCs w:val="24"/>
        </w:rPr>
        <w:t>) and</w:t>
      </w:r>
      <w:r w:rsidR="00EC55F2" w:rsidRPr="00EC55F2">
        <w:rPr>
          <w:rFonts w:ascii="Times New Roman" w:hAnsi="Times New Roman" w:cs="Times New Roman"/>
          <w:i/>
          <w:sz w:val="24"/>
          <w:szCs w:val="24"/>
        </w:rPr>
        <w:t xml:space="preserve"> Gweru Water Workers Committee </w:t>
      </w:r>
      <w:r w:rsidR="00EC55F2" w:rsidRPr="00D571E6">
        <w:rPr>
          <w:rFonts w:ascii="Times New Roman" w:hAnsi="Times New Roman" w:cs="Times New Roman"/>
          <w:sz w:val="24"/>
          <w:szCs w:val="24"/>
        </w:rPr>
        <w:t>(</w:t>
      </w:r>
      <w:r w:rsidR="00EC55F2" w:rsidRPr="00EC55F2">
        <w:rPr>
          <w:rFonts w:ascii="Times New Roman" w:hAnsi="Times New Roman" w:cs="Times New Roman"/>
          <w:i/>
          <w:sz w:val="24"/>
          <w:szCs w:val="24"/>
        </w:rPr>
        <w:t>supra</w:t>
      </w:r>
      <w:r w:rsidR="00EC55F2" w:rsidRPr="00D571E6">
        <w:rPr>
          <w:rFonts w:ascii="Times New Roman" w:hAnsi="Times New Roman" w:cs="Times New Roman"/>
          <w:sz w:val="24"/>
          <w:szCs w:val="24"/>
        </w:rPr>
        <w:t xml:space="preserve">) </w:t>
      </w:r>
      <w:r w:rsidR="00EC55F2">
        <w:rPr>
          <w:rFonts w:ascii="Times New Roman" w:hAnsi="Times New Roman" w:cs="Times New Roman"/>
          <w:sz w:val="24"/>
          <w:szCs w:val="24"/>
        </w:rPr>
        <w:t xml:space="preserve">then comes into play. Has the DDF Act clothed the </w:t>
      </w:r>
      <w:r w:rsidR="006D16A4">
        <w:rPr>
          <w:rFonts w:ascii="Times New Roman" w:hAnsi="Times New Roman" w:cs="Times New Roman"/>
          <w:sz w:val="24"/>
          <w:szCs w:val="24"/>
        </w:rPr>
        <w:t xml:space="preserve">first </w:t>
      </w:r>
      <w:r w:rsidR="000C6EB5">
        <w:rPr>
          <w:rFonts w:ascii="Times New Roman" w:hAnsi="Times New Roman" w:cs="Times New Roman"/>
          <w:sz w:val="24"/>
          <w:szCs w:val="24"/>
        </w:rPr>
        <w:t>defendant</w:t>
      </w:r>
      <w:r w:rsidR="00EC55F2">
        <w:rPr>
          <w:rFonts w:ascii="Times New Roman" w:hAnsi="Times New Roman" w:cs="Times New Roman"/>
          <w:sz w:val="24"/>
          <w:szCs w:val="24"/>
        </w:rPr>
        <w:t xml:space="preserve"> with legal </w:t>
      </w:r>
      <w:r w:rsidR="00983B07" w:rsidRPr="008D6E2D">
        <w:rPr>
          <w:rFonts w:ascii="Times New Roman" w:hAnsi="Times New Roman" w:cs="Times New Roman"/>
          <w:i/>
          <w:sz w:val="24"/>
          <w:szCs w:val="24"/>
        </w:rPr>
        <w:t>persona</w:t>
      </w:r>
      <w:r w:rsidR="00983B07">
        <w:rPr>
          <w:rFonts w:ascii="Times New Roman" w:hAnsi="Times New Roman" w:cs="Times New Roman"/>
          <w:sz w:val="24"/>
          <w:szCs w:val="24"/>
        </w:rPr>
        <w:t xml:space="preserve">? In my view, it has not. The </w:t>
      </w:r>
      <w:r w:rsidR="00582064">
        <w:rPr>
          <w:rFonts w:ascii="Times New Roman" w:hAnsi="Times New Roman" w:cs="Times New Roman"/>
          <w:sz w:val="24"/>
          <w:szCs w:val="24"/>
        </w:rPr>
        <w:t>case of T</w:t>
      </w:r>
      <w:r w:rsidR="00582064" w:rsidRPr="00A12575">
        <w:rPr>
          <w:rFonts w:ascii="Times New Roman" w:hAnsi="Times New Roman" w:cs="Times New Roman"/>
          <w:i/>
          <w:sz w:val="24"/>
          <w:szCs w:val="24"/>
        </w:rPr>
        <w:t xml:space="preserve">amanikwa and Others </w:t>
      </w:r>
      <w:r w:rsidR="00582064" w:rsidRPr="00D571E6">
        <w:rPr>
          <w:rFonts w:ascii="Times New Roman" w:hAnsi="Times New Roman" w:cs="Times New Roman"/>
          <w:sz w:val="24"/>
          <w:szCs w:val="24"/>
        </w:rPr>
        <w:t>v</w:t>
      </w:r>
      <w:r w:rsidR="00895DC1" w:rsidRPr="00D571E6">
        <w:rPr>
          <w:rFonts w:ascii="Times New Roman" w:hAnsi="Times New Roman" w:cs="Times New Roman"/>
          <w:sz w:val="24"/>
          <w:szCs w:val="24"/>
        </w:rPr>
        <w:t xml:space="preserve"> </w:t>
      </w:r>
      <w:r w:rsidR="00895DC1" w:rsidRPr="00A12575">
        <w:rPr>
          <w:rFonts w:ascii="Times New Roman" w:hAnsi="Times New Roman" w:cs="Times New Roman"/>
          <w:i/>
          <w:sz w:val="24"/>
          <w:szCs w:val="24"/>
        </w:rPr>
        <w:t xml:space="preserve">Zimbabwe Manpower Development Fund </w:t>
      </w:r>
      <w:r w:rsidR="00895DC1" w:rsidRPr="00D571E6">
        <w:rPr>
          <w:rFonts w:ascii="Times New Roman" w:hAnsi="Times New Roman" w:cs="Times New Roman"/>
          <w:sz w:val="24"/>
          <w:szCs w:val="24"/>
        </w:rPr>
        <w:t>SC 197/11</w:t>
      </w:r>
      <w:r w:rsidR="00895DC1" w:rsidRPr="00A12575">
        <w:rPr>
          <w:rFonts w:ascii="Times New Roman" w:hAnsi="Times New Roman" w:cs="Times New Roman"/>
          <w:i/>
          <w:sz w:val="24"/>
          <w:szCs w:val="24"/>
        </w:rPr>
        <w:t xml:space="preserve"> </w:t>
      </w:r>
      <w:r w:rsidR="00895DC1">
        <w:rPr>
          <w:rFonts w:ascii="Times New Roman" w:hAnsi="Times New Roman" w:cs="Times New Roman"/>
          <w:sz w:val="24"/>
          <w:szCs w:val="24"/>
        </w:rPr>
        <w:t>would have been apposite</w:t>
      </w:r>
      <w:r w:rsidR="00582064">
        <w:rPr>
          <w:rFonts w:ascii="Times New Roman" w:hAnsi="Times New Roman" w:cs="Times New Roman"/>
          <w:sz w:val="24"/>
          <w:szCs w:val="24"/>
        </w:rPr>
        <w:t xml:space="preserve"> since ZIMDEF is both a creature of statute and a fund set up to administer manpower development funds. Part V of The Manpower Planning and Development Act </w:t>
      </w:r>
      <w:r w:rsidR="00D571E6">
        <w:rPr>
          <w:rFonts w:ascii="Times New Roman" w:hAnsi="Times New Roman" w:cs="Times New Roman"/>
          <w:sz w:val="24"/>
          <w:szCs w:val="24"/>
        </w:rPr>
        <w:t>[</w:t>
      </w:r>
      <w:r w:rsidR="00582064" w:rsidRPr="00D571E6">
        <w:rPr>
          <w:rFonts w:ascii="Times New Roman" w:hAnsi="Times New Roman" w:cs="Times New Roman"/>
          <w:i/>
          <w:sz w:val="24"/>
          <w:szCs w:val="24"/>
        </w:rPr>
        <w:t>Chapter 28:02</w:t>
      </w:r>
      <w:r w:rsidR="00D571E6">
        <w:rPr>
          <w:rFonts w:ascii="Times New Roman" w:hAnsi="Times New Roman" w:cs="Times New Roman"/>
          <w:sz w:val="24"/>
          <w:szCs w:val="24"/>
        </w:rPr>
        <w:t>]</w:t>
      </w:r>
      <w:r w:rsidR="00582064">
        <w:rPr>
          <w:rFonts w:ascii="Times New Roman" w:hAnsi="Times New Roman" w:cs="Times New Roman"/>
          <w:sz w:val="24"/>
          <w:szCs w:val="24"/>
        </w:rPr>
        <w:t xml:space="preserve"> also does not clothe ZIMDEF with legal </w:t>
      </w:r>
      <w:r w:rsidR="00582064" w:rsidRPr="00582064">
        <w:rPr>
          <w:rFonts w:ascii="Times New Roman" w:hAnsi="Times New Roman" w:cs="Times New Roman"/>
          <w:i/>
          <w:sz w:val="24"/>
          <w:szCs w:val="24"/>
        </w:rPr>
        <w:t>persona.</w:t>
      </w:r>
      <w:r w:rsidR="00582064">
        <w:rPr>
          <w:rFonts w:ascii="Times New Roman" w:hAnsi="Times New Roman" w:cs="Times New Roman"/>
          <w:sz w:val="24"/>
          <w:szCs w:val="24"/>
        </w:rPr>
        <w:t xml:space="preserve"> However, in that case there was no challenge to ZIMDEF’s corporate legal </w:t>
      </w:r>
      <w:r w:rsidR="00582064" w:rsidRPr="00582064">
        <w:rPr>
          <w:rFonts w:ascii="Times New Roman" w:hAnsi="Times New Roman" w:cs="Times New Roman"/>
          <w:i/>
          <w:sz w:val="24"/>
          <w:szCs w:val="24"/>
        </w:rPr>
        <w:t>persona</w:t>
      </w:r>
      <w:r w:rsidR="00DF4BCB">
        <w:rPr>
          <w:rFonts w:ascii="Times New Roman" w:hAnsi="Times New Roman" w:cs="Times New Roman"/>
          <w:sz w:val="24"/>
          <w:szCs w:val="24"/>
        </w:rPr>
        <w:t xml:space="preserve"> depriving the Supreme Court of the opportunity to make a definitive ruling on the issue.</w:t>
      </w:r>
    </w:p>
    <w:p w:rsidR="00582064" w:rsidRDefault="00582064" w:rsidP="00E9528F">
      <w:pPr>
        <w:spacing w:after="0" w:line="360" w:lineRule="auto"/>
        <w:ind w:firstLine="720"/>
        <w:jc w:val="both"/>
        <w:rPr>
          <w:rFonts w:ascii="Times New Roman" w:hAnsi="Times New Roman" w:cs="Times New Roman"/>
          <w:sz w:val="24"/>
          <w:szCs w:val="24"/>
        </w:rPr>
      </w:pPr>
      <w:r w:rsidRPr="00D571E6">
        <w:rPr>
          <w:rFonts w:ascii="Times New Roman" w:hAnsi="Times New Roman" w:cs="Times New Roman"/>
          <w:sz w:val="24"/>
          <w:szCs w:val="24"/>
        </w:rPr>
        <w:t xml:space="preserve">In </w:t>
      </w:r>
      <w:r w:rsidR="00DF4BCB">
        <w:rPr>
          <w:rFonts w:ascii="Times New Roman" w:hAnsi="Times New Roman" w:cs="Times New Roman"/>
          <w:sz w:val="24"/>
          <w:szCs w:val="24"/>
        </w:rPr>
        <w:t xml:space="preserve">the present case therefore, </w:t>
      </w:r>
      <w:r w:rsidR="009F4214">
        <w:rPr>
          <w:rFonts w:ascii="Times New Roman" w:hAnsi="Times New Roman" w:cs="Times New Roman"/>
          <w:sz w:val="24"/>
          <w:szCs w:val="24"/>
        </w:rPr>
        <w:t xml:space="preserve">my interpretation is that </w:t>
      </w:r>
      <w:r>
        <w:rPr>
          <w:rFonts w:ascii="Times New Roman" w:hAnsi="Times New Roman" w:cs="Times New Roman"/>
          <w:sz w:val="24"/>
          <w:szCs w:val="24"/>
        </w:rPr>
        <w:t>the District Development F</w:t>
      </w:r>
      <w:r w:rsidR="00983B07">
        <w:rPr>
          <w:rFonts w:ascii="Times New Roman" w:hAnsi="Times New Roman" w:cs="Times New Roman"/>
          <w:sz w:val="24"/>
          <w:szCs w:val="24"/>
        </w:rPr>
        <w:t>und</w:t>
      </w:r>
      <w:r w:rsidR="00EC55F2">
        <w:rPr>
          <w:rFonts w:ascii="Times New Roman" w:hAnsi="Times New Roman" w:cs="Times New Roman"/>
          <w:sz w:val="24"/>
          <w:szCs w:val="24"/>
        </w:rPr>
        <w:t xml:space="preserve"> cannot</w:t>
      </w:r>
      <w:r>
        <w:rPr>
          <w:rFonts w:ascii="Times New Roman" w:hAnsi="Times New Roman" w:cs="Times New Roman"/>
          <w:sz w:val="24"/>
          <w:szCs w:val="24"/>
        </w:rPr>
        <w:t xml:space="preserve"> acquire rights and is not capable of suing or being</w:t>
      </w:r>
      <w:r w:rsidR="00EC55F2">
        <w:rPr>
          <w:rFonts w:ascii="Times New Roman" w:hAnsi="Times New Roman" w:cs="Times New Roman"/>
          <w:sz w:val="24"/>
          <w:szCs w:val="24"/>
        </w:rPr>
        <w:t xml:space="preserve"> sued</w:t>
      </w:r>
      <w:r w:rsidR="006D3FCB">
        <w:rPr>
          <w:rFonts w:ascii="Times New Roman" w:hAnsi="Times New Roman" w:cs="Times New Roman"/>
          <w:sz w:val="24"/>
          <w:szCs w:val="24"/>
        </w:rPr>
        <w:t xml:space="preserve"> </w:t>
      </w:r>
      <w:r w:rsidR="009F4214">
        <w:rPr>
          <w:rFonts w:ascii="Times New Roman" w:hAnsi="Times New Roman" w:cs="Times New Roman"/>
          <w:sz w:val="24"/>
          <w:szCs w:val="24"/>
        </w:rPr>
        <w:t>because</w:t>
      </w:r>
      <w:r w:rsidR="006D3FCB">
        <w:rPr>
          <w:rFonts w:ascii="Times New Roman" w:hAnsi="Times New Roman" w:cs="Times New Roman"/>
          <w:sz w:val="24"/>
          <w:szCs w:val="24"/>
        </w:rPr>
        <w:t xml:space="preserve"> the relevant Act has not made provision for it to act as a legal </w:t>
      </w:r>
      <w:r w:rsidR="006D3FCB" w:rsidRPr="006D3FCB">
        <w:rPr>
          <w:rFonts w:ascii="Times New Roman" w:hAnsi="Times New Roman" w:cs="Times New Roman"/>
          <w:i/>
          <w:sz w:val="24"/>
          <w:szCs w:val="24"/>
        </w:rPr>
        <w:t>persona</w:t>
      </w:r>
      <w:r w:rsidR="00EC55F2">
        <w:rPr>
          <w:rFonts w:ascii="Times New Roman" w:hAnsi="Times New Roman" w:cs="Times New Roman"/>
          <w:sz w:val="24"/>
          <w:szCs w:val="24"/>
        </w:rPr>
        <w:t xml:space="preserve">. </w:t>
      </w:r>
    </w:p>
    <w:p w:rsidR="00EC55F2" w:rsidRDefault="006D3FCB" w:rsidP="00E952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EC55F2">
        <w:rPr>
          <w:rFonts w:ascii="Times New Roman" w:hAnsi="Times New Roman" w:cs="Times New Roman"/>
          <w:sz w:val="24"/>
          <w:szCs w:val="24"/>
        </w:rPr>
        <w:t>therefore uphold this special plea.</w:t>
      </w:r>
    </w:p>
    <w:p w:rsidR="00EC7869" w:rsidRDefault="00E9528F" w:rsidP="00E952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D43D8" w:rsidRPr="00D84833" w:rsidRDefault="005D43D8" w:rsidP="00AF6D50">
      <w:pPr>
        <w:spacing w:after="0" w:line="360" w:lineRule="auto"/>
        <w:jc w:val="both"/>
        <w:rPr>
          <w:rFonts w:ascii="Times New Roman" w:hAnsi="Times New Roman" w:cs="Times New Roman"/>
          <w:sz w:val="24"/>
          <w:szCs w:val="24"/>
          <w:u w:val="single"/>
        </w:rPr>
      </w:pPr>
      <w:r w:rsidRPr="00D84833">
        <w:rPr>
          <w:rFonts w:ascii="Times New Roman" w:hAnsi="Times New Roman" w:cs="Times New Roman"/>
          <w:sz w:val="24"/>
          <w:szCs w:val="24"/>
          <w:u w:val="single"/>
        </w:rPr>
        <w:t xml:space="preserve">WHETHER OR NOT </w:t>
      </w:r>
      <w:r w:rsidR="00AF6D50" w:rsidRPr="00D84833">
        <w:rPr>
          <w:rFonts w:ascii="Times New Roman" w:hAnsi="Times New Roman" w:cs="Times New Roman"/>
          <w:sz w:val="24"/>
          <w:szCs w:val="24"/>
          <w:u w:val="single"/>
        </w:rPr>
        <w:t xml:space="preserve">THE SECOND </w:t>
      </w:r>
      <w:r w:rsidRPr="00D84833">
        <w:rPr>
          <w:rFonts w:ascii="Times New Roman" w:hAnsi="Times New Roman" w:cs="Times New Roman"/>
          <w:sz w:val="24"/>
          <w:szCs w:val="24"/>
          <w:u w:val="single"/>
        </w:rPr>
        <w:t>DEFENDANT IS PROPERLY CITED</w:t>
      </w:r>
    </w:p>
    <w:p w:rsidR="00EC55F2" w:rsidRDefault="00EC55F2"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do not think anything turns on this special plea. </w:t>
      </w:r>
      <w:r w:rsidR="00AF6D50">
        <w:rPr>
          <w:rFonts w:ascii="Times New Roman" w:hAnsi="Times New Roman" w:cs="Times New Roman"/>
          <w:sz w:val="24"/>
          <w:szCs w:val="24"/>
        </w:rPr>
        <w:t>The second d</w:t>
      </w:r>
      <w:r>
        <w:rPr>
          <w:rFonts w:ascii="Times New Roman" w:hAnsi="Times New Roman" w:cs="Times New Roman"/>
          <w:sz w:val="24"/>
          <w:szCs w:val="24"/>
        </w:rPr>
        <w:t xml:space="preserve">efendant was the driver of the vehicle which caused the accident upon which plaintiff’s claim is based. Clearly he is being sued for his own negligence, while DDF is being sued vicariously as his “employer”, </w:t>
      </w:r>
      <w:r w:rsidR="009F4214">
        <w:rPr>
          <w:rFonts w:ascii="Times New Roman" w:hAnsi="Times New Roman" w:cs="Times New Roman"/>
          <w:sz w:val="24"/>
          <w:szCs w:val="24"/>
        </w:rPr>
        <w:t>(</w:t>
      </w:r>
      <w:r>
        <w:rPr>
          <w:rFonts w:ascii="Times New Roman" w:hAnsi="Times New Roman" w:cs="Times New Roman"/>
          <w:sz w:val="24"/>
          <w:szCs w:val="24"/>
        </w:rPr>
        <w:t xml:space="preserve">which of course </w:t>
      </w:r>
      <w:r w:rsidR="009F4214">
        <w:rPr>
          <w:rFonts w:ascii="Times New Roman" w:hAnsi="Times New Roman" w:cs="Times New Roman"/>
          <w:sz w:val="24"/>
          <w:szCs w:val="24"/>
        </w:rPr>
        <w:t>it</w:t>
      </w:r>
      <w:r>
        <w:rPr>
          <w:rFonts w:ascii="Times New Roman" w:hAnsi="Times New Roman" w:cs="Times New Roman"/>
          <w:sz w:val="24"/>
          <w:szCs w:val="24"/>
        </w:rPr>
        <w:t xml:space="preserve"> is not as DDF is not </w:t>
      </w:r>
      <w:r w:rsidR="00A12575">
        <w:rPr>
          <w:rFonts w:ascii="Times New Roman" w:hAnsi="Times New Roman" w:cs="Times New Roman"/>
          <w:sz w:val="24"/>
          <w:szCs w:val="24"/>
        </w:rPr>
        <w:t xml:space="preserve">legally </w:t>
      </w:r>
      <w:r>
        <w:rPr>
          <w:rFonts w:ascii="Times New Roman" w:hAnsi="Times New Roman" w:cs="Times New Roman"/>
          <w:sz w:val="24"/>
          <w:szCs w:val="24"/>
        </w:rPr>
        <w:t>capable of employing anyone as is clear from the DDF Act</w:t>
      </w:r>
      <w:r w:rsidR="009F4214">
        <w:rPr>
          <w:rFonts w:ascii="Times New Roman" w:hAnsi="Times New Roman" w:cs="Times New Roman"/>
          <w:sz w:val="24"/>
          <w:szCs w:val="24"/>
        </w:rPr>
        <w:t>)</w:t>
      </w:r>
      <w:r>
        <w:rPr>
          <w:rFonts w:ascii="Times New Roman" w:hAnsi="Times New Roman" w:cs="Times New Roman"/>
          <w:sz w:val="24"/>
          <w:szCs w:val="24"/>
        </w:rPr>
        <w:t xml:space="preserve">. The argument that </w:t>
      </w:r>
      <w:r w:rsidR="00676EC5">
        <w:rPr>
          <w:rFonts w:ascii="Times New Roman" w:hAnsi="Times New Roman" w:cs="Times New Roman"/>
          <w:sz w:val="24"/>
          <w:szCs w:val="24"/>
        </w:rPr>
        <w:t xml:space="preserve">the second </w:t>
      </w:r>
      <w:r>
        <w:rPr>
          <w:rFonts w:ascii="Times New Roman" w:hAnsi="Times New Roman" w:cs="Times New Roman"/>
          <w:sz w:val="24"/>
          <w:szCs w:val="24"/>
        </w:rPr>
        <w:t xml:space="preserve">defendant should have been sued in his official capacity does not gain any traction with me as he is not an “officer” </w:t>
      </w:r>
      <w:r w:rsidR="00BF3881">
        <w:rPr>
          <w:rFonts w:ascii="Times New Roman" w:hAnsi="Times New Roman" w:cs="Times New Roman"/>
          <w:sz w:val="24"/>
          <w:szCs w:val="24"/>
        </w:rPr>
        <w:t>of the Fund or of the relevant ministry. He is responsible for his negligent acts for which he is liable at delict.</w:t>
      </w:r>
    </w:p>
    <w:p w:rsidR="00BF3881" w:rsidRDefault="00BF3881"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This special plea is dismissed without further ado.</w:t>
      </w:r>
    </w:p>
    <w:p w:rsidR="00E10AB9" w:rsidRDefault="00E10AB9" w:rsidP="00E10AB9">
      <w:pPr>
        <w:spacing w:after="0" w:line="360" w:lineRule="auto"/>
        <w:ind w:firstLine="720"/>
        <w:jc w:val="both"/>
        <w:rPr>
          <w:rFonts w:ascii="Times New Roman" w:hAnsi="Times New Roman" w:cs="Times New Roman"/>
          <w:sz w:val="24"/>
          <w:szCs w:val="24"/>
        </w:rPr>
      </w:pPr>
    </w:p>
    <w:p w:rsidR="00E10AB9" w:rsidRPr="00D84833" w:rsidRDefault="00E10AB9" w:rsidP="00676EC5">
      <w:pPr>
        <w:spacing w:after="0" w:line="360" w:lineRule="auto"/>
        <w:jc w:val="both"/>
        <w:rPr>
          <w:rFonts w:ascii="Times New Roman" w:hAnsi="Times New Roman" w:cs="Times New Roman"/>
          <w:sz w:val="24"/>
          <w:szCs w:val="24"/>
          <w:u w:val="single"/>
        </w:rPr>
      </w:pPr>
      <w:r w:rsidRPr="00D84833">
        <w:rPr>
          <w:rFonts w:ascii="Times New Roman" w:hAnsi="Times New Roman" w:cs="Times New Roman"/>
          <w:sz w:val="24"/>
          <w:szCs w:val="24"/>
          <w:u w:val="single"/>
        </w:rPr>
        <w:t>WHETHER OR NOT THE PLAINTFF’S CLAIM HAS PRESCRIBED</w:t>
      </w:r>
    </w:p>
    <w:p w:rsidR="00465D22" w:rsidRDefault="007717B8" w:rsidP="00734F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not disputed that the accident upon which plaintiff’s claim is grounded occurred on 16 August 2011. </w:t>
      </w:r>
    </w:p>
    <w:p w:rsidR="007717B8" w:rsidRDefault="007717B8" w:rsidP="00734F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Defendants assert that the cause of action </w:t>
      </w:r>
      <w:r w:rsidR="006D3FCB">
        <w:rPr>
          <w:rFonts w:ascii="Times New Roman" w:hAnsi="Times New Roman" w:cs="Times New Roman"/>
          <w:sz w:val="24"/>
          <w:szCs w:val="24"/>
        </w:rPr>
        <w:t>consequently</w:t>
      </w:r>
      <w:r>
        <w:rPr>
          <w:rFonts w:ascii="Times New Roman" w:hAnsi="Times New Roman" w:cs="Times New Roman"/>
          <w:sz w:val="24"/>
          <w:szCs w:val="24"/>
        </w:rPr>
        <w:t xml:space="preserve"> arose on that date</w:t>
      </w:r>
      <w:r w:rsidR="00465D22">
        <w:rPr>
          <w:rFonts w:ascii="Times New Roman" w:hAnsi="Times New Roman" w:cs="Times New Roman"/>
          <w:sz w:val="24"/>
          <w:szCs w:val="24"/>
        </w:rPr>
        <w:t xml:space="preserve"> as this is the date </w:t>
      </w:r>
      <w:r w:rsidR="001F7039">
        <w:rPr>
          <w:rFonts w:ascii="Times New Roman" w:hAnsi="Times New Roman" w:cs="Times New Roman"/>
          <w:sz w:val="24"/>
          <w:szCs w:val="24"/>
        </w:rPr>
        <w:t xml:space="preserve">the </w:t>
      </w:r>
      <w:r w:rsidR="00465D22">
        <w:rPr>
          <w:rFonts w:ascii="Times New Roman" w:hAnsi="Times New Roman" w:cs="Times New Roman"/>
          <w:sz w:val="24"/>
          <w:szCs w:val="24"/>
        </w:rPr>
        <w:t xml:space="preserve">plaintiff became aware that a wrongful act had been committed against him. </w:t>
      </w:r>
      <w:r w:rsidR="003D621A">
        <w:rPr>
          <w:rFonts w:ascii="Times New Roman" w:hAnsi="Times New Roman" w:cs="Times New Roman"/>
          <w:sz w:val="24"/>
          <w:szCs w:val="24"/>
        </w:rPr>
        <w:t>Defendants further argued that a</w:t>
      </w:r>
      <w:r w:rsidR="00465D22">
        <w:rPr>
          <w:rFonts w:ascii="Times New Roman" w:hAnsi="Times New Roman" w:cs="Times New Roman"/>
          <w:sz w:val="24"/>
          <w:szCs w:val="24"/>
        </w:rPr>
        <w:t xml:space="preserve">s at that date, </w:t>
      </w:r>
      <w:r w:rsidR="001F7039">
        <w:rPr>
          <w:rFonts w:ascii="Times New Roman" w:hAnsi="Times New Roman" w:cs="Times New Roman"/>
          <w:sz w:val="24"/>
          <w:szCs w:val="24"/>
        </w:rPr>
        <w:t xml:space="preserve">the </w:t>
      </w:r>
      <w:r w:rsidR="00465D22">
        <w:rPr>
          <w:rFonts w:ascii="Times New Roman" w:hAnsi="Times New Roman" w:cs="Times New Roman"/>
          <w:sz w:val="24"/>
          <w:szCs w:val="24"/>
        </w:rPr>
        <w:t xml:space="preserve">plaintiff could reasonably have found out who </w:t>
      </w:r>
      <w:r w:rsidR="008D6E2D">
        <w:rPr>
          <w:rFonts w:ascii="Times New Roman" w:hAnsi="Times New Roman" w:cs="Times New Roman"/>
          <w:sz w:val="24"/>
          <w:szCs w:val="24"/>
        </w:rPr>
        <w:t>had</w:t>
      </w:r>
      <w:r w:rsidR="00465D22">
        <w:rPr>
          <w:rFonts w:ascii="Times New Roman" w:hAnsi="Times New Roman" w:cs="Times New Roman"/>
          <w:sz w:val="24"/>
          <w:szCs w:val="24"/>
        </w:rPr>
        <w:t xml:space="preserve"> caused his wife’s death and the manner in which that occurred</w:t>
      </w:r>
      <w:r w:rsidR="003D621A">
        <w:rPr>
          <w:rFonts w:ascii="Times New Roman" w:hAnsi="Times New Roman" w:cs="Times New Roman"/>
          <w:sz w:val="24"/>
          <w:szCs w:val="24"/>
        </w:rPr>
        <w:t>, and must be deemed so</w:t>
      </w:r>
      <w:r w:rsidR="00465D22">
        <w:rPr>
          <w:rFonts w:ascii="Times New Roman" w:hAnsi="Times New Roman" w:cs="Times New Roman"/>
          <w:sz w:val="24"/>
          <w:szCs w:val="24"/>
        </w:rPr>
        <w:t>.</w:t>
      </w:r>
      <w:r w:rsidR="006D3FCB">
        <w:rPr>
          <w:rFonts w:ascii="Times New Roman" w:hAnsi="Times New Roman" w:cs="Times New Roman"/>
          <w:sz w:val="24"/>
          <w:szCs w:val="24"/>
        </w:rPr>
        <w:t xml:space="preserve"> Therefore</w:t>
      </w:r>
      <w:r>
        <w:rPr>
          <w:rFonts w:ascii="Times New Roman" w:hAnsi="Times New Roman" w:cs="Times New Roman"/>
          <w:sz w:val="24"/>
          <w:szCs w:val="24"/>
        </w:rPr>
        <w:t xml:space="preserve"> the fact that summons was eventually issued on 3 </w:t>
      </w:r>
      <w:r w:rsidR="008D6E2D">
        <w:rPr>
          <w:rFonts w:ascii="Times New Roman" w:hAnsi="Times New Roman" w:cs="Times New Roman"/>
          <w:sz w:val="24"/>
          <w:szCs w:val="24"/>
        </w:rPr>
        <w:t>October</w:t>
      </w:r>
      <w:r>
        <w:rPr>
          <w:rFonts w:ascii="Times New Roman" w:hAnsi="Times New Roman" w:cs="Times New Roman"/>
          <w:sz w:val="24"/>
          <w:szCs w:val="24"/>
        </w:rPr>
        <w:t xml:space="preserve"> 2014 and served on 9 </w:t>
      </w:r>
      <w:r w:rsidR="008D6E2D">
        <w:rPr>
          <w:rFonts w:ascii="Times New Roman" w:hAnsi="Times New Roman" w:cs="Times New Roman"/>
          <w:sz w:val="24"/>
          <w:szCs w:val="24"/>
        </w:rPr>
        <w:t>October</w:t>
      </w:r>
      <w:r>
        <w:rPr>
          <w:rFonts w:ascii="Times New Roman" w:hAnsi="Times New Roman" w:cs="Times New Roman"/>
          <w:sz w:val="24"/>
          <w:szCs w:val="24"/>
        </w:rPr>
        <w:t xml:space="preserve"> 2014 meant that plaintiff’s claim had prescribed.</w:t>
      </w:r>
      <w:r w:rsidR="003D621A">
        <w:rPr>
          <w:rFonts w:ascii="Times New Roman" w:hAnsi="Times New Roman" w:cs="Times New Roman"/>
          <w:sz w:val="24"/>
          <w:szCs w:val="24"/>
        </w:rPr>
        <w:t xml:space="preserve"> In addition</w:t>
      </w:r>
      <w:r w:rsidR="00465D22">
        <w:rPr>
          <w:rFonts w:ascii="Times New Roman" w:hAnsi="Times New Roman" w:cs="Times New Roman"/>
          <w:sz w:val="24"/>
          <w:szCs w:val="24"/>
        </w:rPr>
        <w:t>, defendants argue that t</w:t>
      </w:r>
      <w:r w:rsidR="00B81A4D">
        <w:rPr>
          <w:rFonts w:ascii="Times New Roman" w:hAnsi="Times New Roman" w:cs="Times New Roman"/>
          <w:sz w:val="24"/>
          <w:szCs w:val="24"/>
        </w:rPr>
        <w:t xml:space="preserve">he notice of intention to sue given on 12 </w:t>
      </w:r>
      <w:r w:rsidR="00465D22">
        <w:rPr>
          <w:rFonts w:ascii="Times New Roman" w:hAnsi="Times New Roman" w:cs="Times New Roman"/>
          <w:sz w:val="24"/>
          <w:szCs w:val="24"/>
        </w:rPr>
        <w:t>September</w:t>
      </w:r>
      <w:r w:rsidR="00B81A4D">
        <w:rPr>
          <w:rFonts w:ascii="Times New Roman" w:hAnsi="Times New Roman" w:cs="Times New Roman"/>
          <w:sz w:val="24"/>
          <w:szCs w:val="24"/>
        </w:rPr>
        <w:t xml:space="preserve"> 2013 is not process for purposes of interrupting prescription </w:t>
      </w:r>
      <w:r w:rsidR="00465D22">
        <w:rPr>
          <w:rFonts w:ascii="Times New Roman" w:hAnsi="Times New Roman" w:cs="Times New Roman"/>
          <w:sz w:val="24"/>
          <w:szCs w:val="24"/>
        </w:rPr>
        <w:t>in terms of s</w:t>
      </w:r>
      <w:r w:rsidR="00EF34A5">
        <w:rPr>
          <w:rFonts w:ascii="Times New Roman" w:hAnsi="Times New Roman" w:cs="Times New Roman"/>
          <w:sz w:val="24"/>
          <w:szCs w:val="24"/>
        </w:rPr>
        <w:t xml:space="preserve"> </w:t>
      </w:r>
      <w:r w:rsidR="00465D22">
        <w:rPr>
          <w:rFonts w:ascii="Times New Roman" w:hAnsi="Times New Roman" w:cs="Times New Roman"/>
          <w:sz w:val="24"/>
          <w:szCs w:val="24"/>
        </w:rPr>
        <w:t>6</w:t>
      </w:r>
      <w:r w:rsidR="00EF34A5">
        <w:rPr>
          <w:rFonts w:ascii="Times New Roman" w:hAnsi="Times New Roman" w:cs="Times New Roman"/>
          <w:sz w:val="24"/>
          <w:szCs w:val="24"/>
        </w:rPr>
        <w:t xml:space="preserve"> </w:t>
      </w:r>
      <w:r w:rsidR="00465D22">
        <w:rPr>
          <w:rFonts w:ascii="Times New Roman" w:hAnsi="Times New Roman" w:cs="Times New Roman"/>
          <w:sz w:val="24"/>
          <w:szCs w:val="24"/>
        </w:rPr>
        <w:t xml:space="preserve">(4) of the Prescription Act, </w:t>
      </w:r>
      <w:r w:rsidR="00EF34A5">
        <w:rPr>
          <w:rFonts w:ascii="Times New Roman" w:hAnsi="Times New Roman" w:cs="Times New Roman"/>
          <w:sz w:val="24"/>
          <w:szCs w:val="24"/>
        </w:rPr>
        <w:t>[</w:t>
      </w:r>
      <w:r w:rsidR="00465D22" w:rsidRPr="00EF34A5">
        <w:rPr>
          <w:rFonts w:ascii="Times New Roman" w:hAnsi="Times New Roman" w:cs="Times New Roman"/>
          <w:i/>
          <w:sz w:val="24"/>
          <w:szCs w:val="24"/>
        </w:rPr>
        <w:t>Chapter 8:11</w:t>
      </w:r>
      <w:r w:rsidR="00EF34A5">
        <w:rPr>
          <w:rFonts w:ascii="Times New Roman" w:hAnsi="Times New Roman" w:cs="Times New Roman"/>
          <w:sz w:val="24"/>
          <w:szCs w:val="24"/>
        </w:rPr>
        <w:t>]</w:t>
      </w:r>
      <w:r w:rsidR="00465D22">
        <w:rPr>
          <w:rFonts w:ascii="Times New Roman" w:hAnsi="Times New Roman" w:cs="Times New Roman"/>
          <w:sz w:val="24"/>
          <w:szCs w:val="24"/>
        </w:rPr>
        <w:t>.</w:t>
      </w:r>
    </w:p>
    <w:p w:rsidR="006D3FCB" w:rsidRDefault="007717B8" w:rsidP="00D31B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w:t>
      </w:r>
      <w:r w:rsidR="00D31B39">
        <w:rPr>
          <w:rFonts w:ascii="Times New Roman" w:hAnsi="Times New Roman" w:cs="Times New Roman"/>
          <w:sz w:val="24"/>
          <w:szCs w:val="24"/>
        </w:rPr>
        <w:t xml:space="preserve">, the </w:t>
      </w:r>
      <w:r>
        <w:rPr>
          <w:rFonts w:ascii="Times New Roman" w:hAnsi="Times New Roman" w:cs="Times New Roman"/>
          <w:sz w:val="24"/>
          <w:szCs w:val="24"/>
        </w:rPr>
        <w:t>plaintiff advances that the cause of action only arose either on 5</w:t>
      </w:r>
      <w:r w:rsidR="00D31B39">
        <w:rPr>
          <w:rFonts w:ascii="Times New Roman" w:hAnsi="Times New Roman" w:cs="Times New Roman"/>
          <w:sz w:val="24"/>
          <w:szCs w:val="24"/>
        </w:rPr>
        <w:t xml:space="preserve"> </w:t>
      </w:r>
      <w:r>
        <w:rPr>
          <w:rFonts w:ascii="Times New Roman" w:hAnsi="Times New Roman" w:cs="Times New Roman"/>
          <w:sz w:val="24"/>
          <w:szCs w:val="24"/>
        </w:rPr>
        <w:t xml:space="preserve">September 2012, upon conviction of </w:t>
      </w:r>
      <w:r w:rsidR="00D31B39">
        <w:rPr>
          <w:rFonts w:ascii="Times New Roman" w:hAnsi="Times New Roman" w:cs="Times New Roman"/>
          <w:sz w:val="24"/>
          <w:szCs w:val="24"/>
        </w:rPr>
        <w:t>the second</w:t>
      </w:r>
      <w:r>
        <w:rPr>
          <w:rFonts w:ascii="Times New Roman" w:hAnsi="Times New Roman" w:cs="Times New Roman"/>
          <w:sz w:val="24"/>
          <w:szCs w:val="24"/>
        </w:rPr>
        <w:t xml:space="preserve"> defendant for culpable homicide or </w:t>
      </w:r>
      <w:r w:rsidR="00895DC1">
        <w:rPr>
          <w:rFonts w:ascii="Times New Roman" w:hAnsi="Times New Roman" w:cs="Times New Roman"/>
          <w:sz w:val="24"/>
          <w:szCs w:val="24"/>
        </w:rPr>
        <w:t xml:space="preserve">on 12 September 2013 when he became aware of </w:t>
      </w:r>
      <w:r w:rsidR="00B22B35">
        <w:rPr>
          <w:rFonts w:ascii="Times New Roman" w:hAnsi="Times New Roman" w:cs="Times New Roman"/>
          <w:sz w:val="24"/>
          <w:szCs w:val="24"/>
        </w:rPr>
        <w:t xml:space="preserve">the first </w:t>
      </w:r>
      <w:r w:rsidR="00895DC1">
        <w:rPr>
          <w:rFonts w:ascii="Times New Roman" w:hAnsi="Times New Roman" w:cs="Times New Roman"/>
          <w:sz w:val="24"/>
          <w:szCs w:val="24"/>
        </w:rPr>
        <w:t>defendant’s identity</w:t>
      </w:r>
      <w:r>
        <w:rPr>
          <w:rFonts w:ascii="Times New Roman" w:hAnsi="Times New Roman" w:cs="Times New Roman"/>
          <w:sz w:val="24"/>
          <w:szCs w:val="24"/>
        </w:rPr>
        <w:t xml:space="preserve">. </w:t>
      </w:r>
    </w:p>
    <w:p w:rsidR="00B61EB9" w:rsidRDefault="00242E6F" w:rsidP="00ED28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A12575">
        <w:rPr>
          <w:rFonts w:ascii="Times New Roman" w:hAnsi="Times New Roman" w:cs="Times New Roman"/>
          <w:sz w:val="24"/>
          <w:szCs w:val="24"/>
        </w:rPr>
        <w:t>goes without saying</w:t>
      </w:r>
      <w:r>
        <w:rPr>
          <w:rFonts w:ascii="Times New Roman" w:hAnsi="Times New Roman" w:cs="Times New Roman"/>
          <w:sz w:val="24"/>
          <w:szCs w:val="24"/>
        </w:rPr>
        <w:t xml:space="preserve"> that the general prescription period for all debts is </w:t>
      </w:r>
      <w:r w:rsidR="006D3FCB">
        <w:rPr>
          <w:rFonts w:ascii="Times New Roman" w:hAnsi="Times New Roman" w:cs="Times New Roman"/>
          <w:sz w:val="24"/>
          <w:szCs w:val="24"/>
        </w:rPr>
        <w:t>3</w:t>
      </w:r>
      <w:r>
        <w:rPr>
          <w:rFonts w:ascii="Times New Roman" w:hAnsi="Times New Roman" w:cs="Times New Roman"/>
          <w:sz w:val="24"/>
          <w:szCs w:val="24"/>
        </w:rPr>
        <w:t xml:space="preserve"> years</w:t>
      </w:r>
      <w:r w:rsidR="00ED28E9">
        <w:rPr>
          <w:rFonts w:ascii="Times New Roman" w:hAnsi="Times New Roman" w:cs="Times New Roman"/>
          <w:sz w:val="24"/>
          <w:szCs w:val="24"/>
        </w:rPr>
        <w:t xml:space="preserve"> (</w:t>
      </w:r>
      <w:r w:rsidR="00D974D6">
        <w:rPr>
          <w:rFonts w:ascii="Times New Roman" w:hAnsi="Times New Roman" w:cs="Times New Roman"/>
          <w:sz w:val="24"/>
          <w:szCs w:val="24"/>
        </w:rPr>
        <w:t>s 15</w:t>
      </w:r>
      <w:r w:rsidR="00ED28E9">
        <w:rPr>
          <w:rFonts w:ascii="Times New Roman" w:hAnsi="Times New Roman" w:cs="Times New Roman"/>
          <w:sz w:val="24"/>
          <w:szCs w:val="24"/>
        </w:rPr>
        <w:t xml:space="preserve"> </w:t>
      </w:r>
      <w:r w:rsidR="00D974D6">
        <w:rPr>
          <w:rFonts w:ascii="Times New Roman" w:hAnsi="Times New Roman" w:cs="Times New Roman"/>
          <w:sz w:val="24"/>
          <w:szCs w:val="24"/>
        </w:rPr>
        <w:t xml:space="preserve">(d) of the Prescription Act </w:t>
      </w:r>
      <w:r w:rsidR="00ED28E9">
        <w:rPr>
          <w:rFonts w:ascii="Times New Roman" w:hAnsi="Times New Roman" w:cs="Times New Roman"/>
          <w:sz w:val="24"/>
          <w:szCs w:val="24"/>
        </w:rPr>
        <w:t>[</w:t>
      </w:r>
      <w:r w:rsidR="00D974D6" w:rsidRPr="00ED28E9">
        <w:rPr>
          <w:rFonts w:ascii="Times New Roman" w:hAnsi="Times New Roman" w:cs="Times New Roman"/>
          <w:i/>
          <w:sz w:val="24"/>
          <w:szCs w:val="24"/>
        </w:rPr>
        <w:t>Chapter 8:11</w:t>
      </w:r>
      <w:r w:rsidR="00ED28E9">
        <w:rPr>
          <w:rFonts w:ascii="Times New Roman" w:hAnsi="Times New Roman" w:cs="Times New Roman"/>
          <w:sz w:val="24"/>
          <w:szCs w:val="24"/>
        </w:rPr>
        <w:t>])</w:t>
      </w:r>
      <w:r>
        <w:rPr>
          <w:rFonts w:ascii="Times New Roman" w:hAnsi="Times New Roman" w:cs="Times New Roman"/>
          <w:sz w:val="24"/>
          <w:szCs w:val="24"/>
        </w:rPr>
        <w:t xml:space="preserve">, except for those debts circumscribed under S15 (a), (b) and (c). </w:t>
      </w:r>
      <w:r w:rsidR="006D3FCB">
        <w:rPr>
          <w:rFonts w:ascii="Times New Roman" w:hAnsi="Times New Roman" w:cs="Times New Roman"/>
          <w:sz w:val="24"/>
          <w:szCs w:val="24"/>
        </w:rPr>
        <w:t>Obviously, this being a claim for damages, the general prescriptive period of 3 years applies. The question to determine therefore is: when did the debt become due?</w:t>
      </w:r>
    </w:p>
    <w:p w:rsidR="0042159F" w:rsidRDefault="006D3FCB"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D974D6">
        <w:rPr>
          <w:rFonts w:ascii="Times New Roman" w:hAnsi="Times New Roman" w:cs="Times New Roman"/>
          <w:sz w:val="24"/>
          <w:szCs w:val="24"/>
        </w:rPr>
        <w:t xml:space="preserve">is settled in our law that </w:t>
      </w:r>
      <w:r>
        <w:rPr>
          <w:rFonts w:ascii="Times New Roman" w:hAnsi="Times New Roman" w:cs="Times New Roman"/>
          <w:sz w:val="24"/>
          <w:szCs w:val="24"/>
        </w:rPr>
        <w:t xml:space="preserve">a debt does not become due until the claimant is aware </w:t>
      </w:r>
      <w:r w:rsidR="00E36BE2">
        <w:rPr>
          <w:rFonts w:ascii="Times New Roman" w:hAnsi="Times New Roman" w:cs="Times New Roman"/>
          <w:sz w:val="24"/>
          <w:szCs w:val="24"/>
        </w:rPr>
        <w:t>or ought reasonably to have become aware</w:t>
      </w:r>
      <w:r w:rsidR="008D6E2D">
        <w:rPr>
          <w:rFonts w:ascii="Times New Roman" w:hAnsi="Times New Roman" w:cs="Times New Roman"/>
          <w:sz w:val="24"/>
          <w:szCs w:val="24"/>
        </w:rPr>
        <w:t>,</w:t>
      </w:r>
      <w:r w:rsidR="00E36BE2">
        <w:rPr>
          <w:rFonts w:ascii="Times New Roman" w:hAnsi="Times New Roman" w:cs="Times New Roman"/>
          <w:sz w:val="24"/>
          <w:szCs w:val="24"/>
        </w:rPr>
        <w:t xml:space="preserve"> </w:t>
      </w:r>
      <w:r>
        <w:rPr>
          <w:rFonts w:ascii="Times New Roman" w:hAnsi="Times New Roman" w:cs="Times New Roman"/>
          <w:sz w:val="24"/>
          <w:szCs w:val="24"/>
        </w:rPr>
        <w:t>of the facts from which the debt arose. Th</w:t>
      </w:r>
      <w:r w:rsidR="00E36BE2">
        <w:rPr>
          <w:rFonts w:ascii="Times New Roman" w:hAnsi="Times New Roman" w:cs="Times New Roman"/>
          <w:sz w:val="24"/>
          <w:szCs w:val="24"/>
        </w:rPr>
        <w:t>ese “facts” have</w:t>
      </w:r>
      <w:r>
        <w:rPr>
          <w:rFonts w:ascii="Times New Roman" w:hAnsi="Times New Roman" w:cs="Times New Roman"/>
          <w:sz w:val="24"/>
          <w:szCs w:val="24"/>
        </w:rPr>
        <w:t xml:space="preserve"> generally been inte</w:t>
      </w:r>
      <w:r w:rsidR="00E36BE2">
        <w:rPr>
          <w:rFonts w:ascii="Times New Roman" w:hAnsi="Times New Roman" w:cs="Times New Roman"/>
          <w:sz w:val="24"/>
          <w:szCs w:val="24"/>
        </w:rPr>
        <w:t>rpreted</w:t>
      </w:r>
      <w:r>
        <w:rPr>
          <w:rFonts w:ascii="Times New Roman" w:hAnsi="Times New Roman" w:cs="Times New Roman"/>
          <w:sz w:val="24"/>
          <w:szCs w:val="24"/>
        </w:rPr>
        <w:t xml:space="preserve"> to mean the material or broad facts from which a cause of action arises</w:t>
      </w:r>
      <w:r w:rsidR="00E36BE2">
        <w:rPr>
          <w:rFonts w:ascii="Times New Roman" w:hAnsi="Times New Roman" w:cs="Times New Roman"/>
          <w:sz w:val="24"/>
          <w:szCs w:val="24"/>
        </w:rPr>
        <w:t xml:space="preserve"> or all the facts which a plaintiff must prove to obtain judgment in his favour</w:t>
      </w:r>
      <w:r w:rsidR="008D3EEB">
        <w:rPr>
          <w:rFonts w:ascii="Times New Roman" w:hAnsi="Times New Roman" w:cs="Times New Roman"/>
          <w:sz w:val="24"/>
          <w:szCs w:val="24"/>
        </w:rPr>
        <w:t>. For loss, injury or death claims, th</w:t>
      </w:r>
      <w:r w:rsidR="00E36BE2">
        <w:rPr>
          <w:rFonts w:ascii="Times New Roman" w:hAnsi="Times New Roman" w:cs="Times New Roman"/>
          <w:sz w:val="24"/>
          <w:szCs w:val="24"/>
        </w:rPr>
        <w:t>ese facts</w:t>
      </w:r>
      <w:r w:rsidR="008D3EEB">
        <w:rPr>
          <w:rFonts w:ascii="Times New Roman" w:hAnsi="Times New Roman" w:cs="Times New Roman"/>
          <w:sz w:val="24"/>
          <w:szCs w:val="24"/>
        </w:rPr>
        <w:t xml:space="preserve"> relate to </w:t>
      </w:r>
      <w:r w:rsidR="00E36BE2">
        <w:rPr>
          <w:rFonts w:ascii="Times New Roman" w:hAnsi="Times New Roman" w:cs="Times New Roman"/>
          <w:sz w:val="24"/>
          <w:szCs w:val="24"/>
        </w:rPr>
        <w:t xml:space="preserve">the damage and loss suffered, </w:t>
      </w:r>
      <w:r w:rsidR="008D3EEB">
        <w:rPr>
          <w:rFonts w:ascii="Times New Roman" w:hAnsi="Times New Roman" w:cs="Times New Roman"/>
          <w:sz w:val="24"/>
          <w:szCs w:val="24"/>
        </w:rPr>
        <w:t>how such loss</w:t>
      </w:r>
      <w:r w:rsidR="00E36BE2">
        <w:rPr>
          <w:rFonts w:ascii="Times New Roman" w:hAnsi="Times New Roman" w:cs="Times New Roman"/>
          <w:sz w:val="24"/>
          <w:szCs w:val="24"/>
        </w:rPr>
        <w:t xml:space="preserve"> or damage was caused and the wrongful conduct and negligence from which the loss flowed. The </w:t>
      </w:r>
      <w:r w:rsidR="0042159F">
        <w:rPr>
          <w:rFonts w:ascii="Times New Roman" w:hAnsi="Times New Roman" w:cs="Times New Roman"/>
          <w:sz w:val="24"/>
          <w:szCs w:val="24"/>
        </w:rPr>
        <w:t>plaintiff</w:t>
      </w:r>
      <w:r w:rsidR="00E36BE2">
        <w:rPr>
          <w:rFonts w:ascii="Times New Roman" w:hAnsi="Times New Roman" w:cs="Times New Roman"/>
          <w:sz w:val="24"/>
          <w:szCs w:val="24"/>
        </w:rPr>
        <w:t xml:space="preserve"> will be deemed to have such knowledge if he is </w:t>
      </w:r>
      <w:r w:rsidR="0042159F">
        <w:rPr>
          <w:rFonts w:ascii="Times New Roman" w:hAnsi="Times New Roman" w:cs="Times New Roman"/>
          <w:sz w:val="24"/>
          <w:szCs w:val="24"/>
        </w:rPr>
        <w:t>aware</w:t>
      </w:r>
      <w:r w:rsidR="00E36BE2">
        <w:rPr>
          <w:rFonts w:ascii="Times New Roman" w:hAnsi="Times New Roman" w:cs="Times New Roman"/>
          <w:sz w:val="24"/>
          <w:szCs w:val="24"/>
        </w:rPr>
        <w:t xml:space="preserve"> of the cause of damage or loss and that he has been wronged by the defendant, even if he may </w:t>
      </w:r>
      <w:r w:rsidR="0042159F">
        <w:rPr>
          <w:rFonts w:ascii="Times New Roman" w:hAnsi="Times New Roman" w:cs="Times New Roman"/>
          <w:sz w:val="24"/>
          <w:szCs w:val="24"/>
        </w:rPr>
        <w:t>not</w:t>
      </w:r>
      <w:r w:rsidR="00E36BE2">
        <w:rPr>
          <w:rFonts w:ascii="Times New Roman" w:hAnsi="Times New Roman" w:cs="Times New Roman"/>
          <w:sz w:val="24"/>
          <w:szCs w:val="24"/>
        </w:rPr>
        <w:t xml:space="preserve"> know all the details of the wrongdoing</w:t>
      </w:r>
      <w:r w:rsidR="0042159F">
        <w:rPr>
          <w:rFonts w:ascii="Times New Roman" w:hAnsi="Times New Roman" w:cs="Times New Roman"/>
          <w:sz w:val="24"/>
          <w:szCs w:val="24"/>
        </w:rPr>
        <w:t>. It is not necessary or required that plaintiff should have specific knowledge of the actual details of how he was wronged.</w:t>
      </w:r>
    </w:p>
    <w:p w:rsidR="0042159F" w:rsidRDefault="0042159F"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also settled that </w:t>
      </w:r>
      <w:r w:rsidR="008D3EEB">
        <w:rPr>
          <w:rFonts w:ascii="Times New Roman" w:hAnsi="Times New Roman" w:cs="Times New Roman"/>
          <w:sz w:val="24"/>
          <w:szCs w:val="24"/>
        </w:rPr>
        <w:t xml:space="preserve">the </w:t>
      </w:r>
      <w:r w:rsidR="008D3EEB" w:rsidRPr="0042159F">
        <w:rPr>
          <w:rFonts w:ascii="Times New Roman" w:hAnsi="Times New Roman" w:cs="Times New Roman"/>
          <w:i/>
          <w:sz w:val="24"/>
          <w:szCs w:val="24"/>
        </w:rPr>
        <w:t>onus</w:t>
      </w:r>
      <w:r w:rsidR="008D3EEB">
        <w:rPr>
          <w:rFonts w:ascii="Times New Roman" w:hAnsi="Times New Roman" w:cs="Times New Roman"/>
          <w:sz w:val="24"/>
          <w:szCs w:val="24"/>
        </w:rPr>
        <w:t xml:space="preserve"> is on the defendant to prove </w:t>
      </w:r>
      <w:r w:rsidR="00B23C6D">
        <w:rPr>
          <w:rFonts w:ascii="Times New Roman" w:hAnsi="Times New Roman" w:cs="Times New Roman"/>
          <w:sz w:val="24"/>
          <w:szCs w:val="24"/>
        </w:rPr>
        <w:t xml:space="preserve">that within three years </w:t>
      </w:r>
      <w:r>
        <w:rPr>
          <w:rFonts w:ascii="Times New Roman" w:hAnsi="Times New Roman" w:cs="Times New Roman"/>
          <w:sz w:val="24"/>
          <w:szCs w:val="24"/>
        </w:rPr>
        <w:t xml:space="preserve">prior to the date of service of summons, </w:t>
      </w:r>
      <w:r w:rsidR="00737972">
        <w:rPr>
          <w:rFonts w:ascii="Times New Roman" w:hAnsi="Times New Roman" w:cs="Times New Roman"/>
          <w:sz w:val="24"/>
          <w:szCs w:val="24"/>
        </w:rPr>
        <w:t xml:space="preserve">the </w:t>
      </w:r>
      <w:r>
        <w:rPr>
          <w:rFonts w:ascii="Times New Roman" w:hAnsi="Times New Roman" w:cs="Times New Roman"/>
          <w:sz w:val="24"/>
          <w:szCs w:val="24"/>
        </w:rPr>
        <w:t>plaintiff had or ought to have had knowledge of the facts on which the debt arose.</w:t>
      </w:r>
      <w:r w:rsidR="008D3EEB">
        <w:rPr>
          <w:rFonts w:ascii="Times New Roman" w:hAnsi="Times New Roman" w:cs="Times New Roman"/>
          <w:sz w:val="24"/>
          <w:szCs w:val="24"/>
        </w:rPr>
        <w:t xml:space="preserve"> </w:t>
      </w:r>
    </w:p>
    <w:p w:rsidR="008D3EEB" w:rsidRDefault="008D3EEB" w:rsidP="00090BBF">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 xml:space="preserve">Wrong legal advice and ignorance of the law are therefore irrelevant. </w:t>
      </w:r>
      <w:r w:rsidR="008D6E2D">
        <w:rPr>
          <w:rFonts w:ascii="Times New Roman" w:hAnsi="Times New Roman" w:cs="Times New Roman"/>
          <w:sz w:val="24"/>
          <w:szCs w:val="24"/>
        </w:rPr>
        <w:t>For these principles, s</w:t>
      </w:r>
      <w:r>
        <w:rPr>
          <w:rFonts w:ascii="Times New Roman" w:hAnsi="Times New Roman" w:cs="Times New Roman"/>
          <w:sz w:val="24"/>
          <w:szCs w:val="24"/>
        </w:rPr>
        <w:t xml:space="preserve">ee </w:t>
      </w:r>
      <w:r w:rsidRPr="00F43BE0">
        <w:rPr>
          <w:rFonts w:ascii="Times New Roman" w:hAnsi="Times New Roman" w:cs="Times New Roman"/>
          <w:i/>
          <w:sz w:val="24"/>
          <w:szCs w:val="24"/>
        </w:rPr>
        <w:t xml:space="preserve">Peebles </w:t>
      </w:r>
      <w:r w:rsidR="00737972">
        <w:rPr>
          <w:rFonts w:ascii="Times New Roman" w:hAnsi="Times New Roman" w:cs="Times New Roman"/>
          <w:sz w:val="24"/>
          <w:szCs w:val="24"/>
        </w:rPr>
        <w:t>v</w:t>
      </w:r>
      <w:r w:rsidRPr="00F43BE0">
        <w:rPr>
          <w:rFonts w:ascii="Times New Roman" w:hAnsi="Times New Roman" w:cs="Times New Roman"/>
          <w:i/>
          <w:sz w:val="24"/>
          <w:szCs w:val="24"/>
        </w:rPr>
        <w:t xml:space="preserve"> Dairibord Zimbabwe (Pvt) Ltd </w:t>
      </w:r>
      <w:r w:rsidRPr="00737972">
        <w:rPr>
          <w:rFonts w:ascii="Times New Roman" w:hAnsi="Times New Roman" w:cs="Times New Roman"/>
          <w:sz w:val="24"/>
          <w:szCs w:val="24"/>
        </w:rPr>
        <w:t>1999 (1) ZLR 41</w:t>
      </w:r>
      <w:r w:rsidR="00B23C6D">
        <w:rPr>
          <w:rFonts w:ascii="Times New Roman" w:hAnsi="Times New Roman" w:cs="Times New Roman"/>
          <w:i/>
          <w:sz w:val="24"/>
          <w:szCs w:val="24"/>
        </w:rPr>
        <w:t>.</w:t>
      </w:r>
    </w:p>
    <w:p w:rsidR="00A622E5" w:rsidRDefault="00B23C6D"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w:t>
      </w:r>
      <w:r w:rsidR="00730E6C">
        <w:rPr>
          <w:rFonts w:ascii="Times New Roman" w:hAnsi="Times New Roman" w:cs="Times New Roman"/>
          <w:sz w:val="24"/>
          <w:szCs w:val="24"/>
        </w:rPr>
        <w:t xml:space="preserve"> the</w:t>
      </w:r>
      <w:r>
        <w:rPr>
          <w:rFonts w:ascii="Times New Roman" w:hAnsi="Times New Roman" w:cs="Times New Roman"/>
          <w:sz w:val="24"/>
          <w:szCs w:val="24"/>
        </w:rPr>
        <w:t xml:space="preserve"> plaintiff contended that though he knew that his wife had died in a</w:t>
      </w:r>
      <w:r w:rsidR="00A622E5">
        <w:rPr>
          <w:rFonts w:ascii="Times New Roman" w:hAnsi="Times New Roman" w:cs="Times New Roman"/>
          <w:sz w:val="24"/>
          <w:szCs w:val="24"/>
        </w:rPr>
        <w:t xml:space="preserve">n accident, he was not aware </w:t>
      </w:r>
      <w:r w:rsidR="00465D22">
        <w:rPr>
          <w:rFonts w:ascii="Times New Roman" w:hAnsi="Times New Roman" w:cs="Times New Roman"/>
          <w:sz w:val="24"/>
          <w:szCs w:val="24"/>
        </w:rPr>
        <w:t xml:space="preserve">who actually </w:t>
      </w:r>
      <w:r>
        <w:rPr>
          <w:rFonts w:ascii="Times New Roman" w:hAnsi="Times New Roman" w:cs="Times New Roman"/>
          <w:sz w:val="24"/>
          <w:szCs w:val="24"/>
        </w:rPr>
        <w:t>caused the accident</w:t>
      </w:r>
      <w:r w:rsidR="00A622E5" w:rsidRPr="00A622E5">
        <w:rPr>
          <w:rFonts w:ascii="Times New Roman" w:hAnsi="Times New Roman" w:cs="Times New Roman"/>
          <w:sz w:val="24"/>
          <w:szCs w:val="24"/>
        </w:rPr>
        <w:t xml:space="preserve"> </w:t>
      </w:r>
      <w:r w:rsidR="00465D22">
        <w:rPr>
          <w:rFonts w:ascii="Times New Roman" w:hAnsi="Times New Roman" w:cs="Times New Roman"/>
          <w:sz w:val="24"/>
          <w:szCs w:val="24"/>
        </w:rPr>
        <w:t xml:space="preserve">and how </w:t>
      </w:r>
      <w:r w:rsidR="00A622E5">
        <w:rPr>
          <w:rFonts w:ascii="Times New Roman" w:hAnsi="Times New Roman" w:cs="Times New Roman"/>
          <w:sz w:val="24"/>
          <w:szCs w:val="24"/>
        </w:rPr>
        <w:t xml:space="preserve">until the time of </w:t>
      </w:r>
      <w:r w:rsidR="00FE06DA">
        <w:rPr>
          <w:rFonts w:ascii="Times New Roman" w:hAnsi="Times New Roman" w:cs="Times New Roman"/>
          <w:sz w:val="24"/>
          <w:szCs w:val="24"/>
        </w:rPr>
        <w:t>the second</w:t>
      </w:r>
      <w:r w:rsidR="00A622E5">
        <w:rPr>
          <w:rFonts w:ascii="Times New Roman" w:hAnsi="Times New Roman" w:cs="Times New Roman"/>
          <w:sz w:val="24"/>
          <w:szCs w:val="24"/>
        </w:rPr>
        <w:t xml:space="preserve"> defendant’s conviction for culpable homicide. </w:t>
      </w:r>
      <w:r>
        <w:rPr>
          <w:rFonts w:ascii="Times New Roman" w:hAnsi="Times New Roman" w:cs="Times New Roman"/>
          <w:sz w:val="24"/>
          <w:szCs w:val="24"/>
        </w:rPr>
        <w:t>This, he asserts, was because there were two accused persons and he could only proceed against one or the other at the conclusion of the prosecution and conviction</w:t>
      </w:r>
      <w:r w:rsidR="00A622E5">
        <w:rPr>
          <w:rFonts w:ascii="Times New Roman" w:hAnsi="Times New Roman" w:cs="Times New Roman"/>
          <w:sz w:val="24"/>
          <w:szCs w:val="24"/>
        </w:rPr>
        <w:t xml:space="preserve">. Further, he was not aware that </w:t>
      </w:r>
      <w:r w:rsidR="002D4F24">
        <w:rPr>
          <w:rFonts w:ascii="Times New Roman" w:hAnsi="Times New Roman" w:cs="Times New Roman"/>
          <w:sz w:val="24"/>
          <w:szCs w:val="24"/>
        </w:rPr>
        <w:t>the first</w:t>
      </w:r>
      <w:r w:rsidR="00A622E5">
        <w:rPr>
          <w:rFonts w:ascii="Times New Roman" w:hAnsi="Times New Roman" w:cs="Times New Roman"/>
          <w:sz w:val="24"/>
          <w:szCs w:val="24"/>
        </w:rPr>
        <w:t xml:space="preserve"> defendant was </w:t>
      </w:r>
      <w:r w:rsidR="002D4F24">
        <w:rPr>
          <w:rFonts w:ascii="Times New Roman" w:hAnsi="Times New Roman" w:cs="Times New Roman"/>
          <w:sz w:val="24"/>
          <w:szCs w:val="24"/>
        </w:rPr>
        <w:t xml:space="preserve">the second </w:t>
      </w:r>
      <w:r w:rsidR="00A622E5">
        <w:rPr>
          <w:rFonts w:ascii="Times New Roman" w:hAnsi="Times New Roman" w:cs="Times New Roman"/>
          <w:sz w:val="24"/>
          <w:szCs w:val="24"/>
        </w:rPr>
        <w:t>defendant’s employer and could be sued for vicarious liability until he was so advised by his lawyers.</w:t>
      </w:r>
    </w:p>
    <w:p w:rsidR="00465D22" w:rsidRDefault="00506B02"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9F4214">
        <w:rPr>
          <w:rFonts w:ascii="Times New Roman" w:hAnsi="Times New Roman" w:cs="Times New Roman"/>
          <w:sz w:val="24"/>
          <w:szCs w:val="24"/>
        </w:rPr>
        <w:t>o discharge the onus that the plaintiff had or ought to have had knowledge of the facts upon which the debt arose, t</w:t>
      </w:r>
      <w:r>
        <w:rPr>
          <w:rFonts w:ascii="Times New Roman" w:hAnsi="Times New Roman" w:cs="Times New Roman"/>
          <w:sz w:val="24"/>
          <w:szCs w:val="24"/>
        </w:rPr>
        <w:t>he d</w:t>
      </w:r>
      <w:r w:rsidR="00A622E5">
        <w:rPr>
          <w:rFonts w:ascii="Times New Roman" w:hAnsi="Times New Roman" w:cs="Times New Roman"/>
          <w:sz w:val="24"/>
          <w:szCs w:val="24"/>
        </w:rPr>
        <w:t xml:space="preserve">efendant argued, correctly in my view, </w:t>
      </w:r>
      <w:r w:rsidR="009F4214">
        <w:rPr>
          <w:rFonts w:ascii="Times New Roman" w:hAnsi="Times New Roman" w:cs="Times New Roman"/>
          <w:sz w:val="24"/>
          <w:szCs w:val="24"/>
        </w:rPr>
        <w:t xml:space="preserve">firstly </w:t>
      </w:r>
      <w:r w:rsidR="00A622E5">
        <w:rPr>
          <w:rFonts w:ascii="Times New Roman" w:hAnsi="Times New Roman" w:cs="Times New Roman"/>
          <w:sz w:val="24"/>
          <w:szCs w:val="24"/>
        </w:rPr>
        <w:t xml:space="preserve">that a proper application of the legal position enunciated in </w:t>
      </w:r>
      <w:r w:rsidR="00465D22" w:rsidRPr="00A622E5">
        <w:rPr>
          <w:rFonts w:ascii="Times New Roman" w:hAnsi="Times New Roman" w:cs="Times New Roman"/>
          <w:i/>
          <w:sz w:val="24"/>
          <w:szCs w:val="24"/>
        </w:rPr>
        <w:t xml:space="preserve">Peebles </w:t>
      </w:r>
      <w:r w:rsidR="00465D22" w:rsidRPr="00506B02">
        <w:rPr>
          <w:rFonts w:ascii="Times New Roman" w:hAnsi="Times New Roman" w:cs="Times New Roman"/>
          <w:sz w:val="24"/>
          <w:szCs w:val="24"/>
        </w:rPr>
        <w:t>(</w:t>
      </w:r>
      <w:r w:rsidR="00A622E5" w:rsidRPr="00A622E5">
        <w:rPr>
          <w:rFonts w:ascii="Times New Roman" w:hAnsi="Times New Roman" w:cs="Times New Roman"/>
          <w:i/>
          <w:sz w:val="24"/>
          <w:szCs w:val="24"/>
        </w:rPr>
        <w:t>supra</w:t>
      </w:r>
      <w:r w:rsidR="00A622E5" w:rsidRPr="00506B02">
        <w:rPr>
          <w:rFonts w:ascii="Times New Roman" w:hAnsi="Times New Roman" w:cs="Times New Roman"/>
          <w:sz w:val="24"/>
          <w:szCs w:val="24"/>
        </w:rPr>
        <w:t>)</w:t>
      </w:r>
      <w:r w:rsidR="00B23C6D" w:rsidRPr="00506B02">
        <w:rPr>
          <w:rFonts w:ascii="Times New Roman" w:hAnsi="Times New Roman" w:cs="Times New Roman"/>
          <w:sz w:val="24"/>
          <w:szCs w:val="24"/>
        </w:rPr>
        <w:t xml:space="preserve"> </w:t>
      </w:r>
      <w:r w:rsidR="00A622E5">
        <w:rPr>
          <w:rFonts w:ascii="Times New Roman" w:hAnsi="Times New Roman" w:cs="Times New Roman"/>
          <w:sz w:val="24"/>
          <w:szCs w:val="24"/>
        </w:rPr>
        <w:t xml:space="preserve">does not require the conviction of a person so as to ground awareness of </w:t>
      </w:r>
      <w:r w:rsidR="00420FD3">
        <w:rPr>
          <w:rFonts w:ascii="Times New Roman" w:hAnsi="Times New Roman" w:cs="Times New Roman"/>
          <w:sz w:val="24"/>
          <w:szCs w:val="24"/>
        </w:rPr>
        <w:t xml:space="preserve">the </w:t>
      </w:r>
      <w:r w:rsidR="00A622E5">
        <w:rPr>
          <w:rFonts w:ascii="Times New Roman" w:hAnsi="Times New Roman" w:cs="Times New Roman"/>
          <w:sz w:val="24"/>
          <w:szCs w:val="24"/>
        </w:rPr>
        <w:t xml:space="preserve">plaintiff’s rights or claim. </w:t>
      </w:r>
      <w:r w:rsidR="00D86C1A">
        <w:rPr>
          <w:rFonts w:ascii="Times New Roman" w:hAnsi="Times New Roman" w:cs="Times New Roman"/>
          <w:sz w:val="24"/>
          <w:szCs w:val="24"/>
        </w:rPr>
        <w:t>I am of the view that</w:t>
      </w:r>
      <w:r w:rsidR="004C096B">
        <w:rPr>
          <w:rFonts w:ascii="Times New Roman" w:hAnsi="Times New Roman" w:cs="Times New Roman"/>
          <w:sz w:val="24"/>
          <w:szCs w:val="24"/>
        </w:rPr>
        <w:t xml:space="preserve"> the occurrence of the accident itself and the circumstances thereof alerts a plaintiff of the cause of his action. </w:t>
      </w:r>
      <w:r w:rsidR="00D86C1A">
        <w:rPr>
          <w:rFonts w:ascii="Times New Roman" w:hAnsi="Times New Roman" w:cs="Times New Roman"/>
          <w:sz w:val="24"/>
          <w:szCs w:val="24"/>
        </w:rPr>
        <w:t>In any event, s 16 of the Prescription Act requires that, by exercising reasonable care, plaintiff ought, within a few days of the accident, to have discovered how the accident occurred and who the suspected culprits were.</w:t>
      </w:r>
    </w:p>
    <w:p w:rsidR="00465D22" w:rsidRDefault="009F4214"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w:t>
      </w:r>
      <w:r w:rsidR="004C096B">
        <w:rPr>
          <w:rFonts w:ascii="Times New Roman" w:hAnsi="Times New Roman" w:cs="Times New Roman"/>
          <w:sz w:val="24"/>
          <w:szCs w:val="24"/>
        </w:rPr>
        <w:t xml:space="preserve">, whether </w:t>
      </w:r>
      <w:r w:rsidR="00420FD3">
        <w:rPr>
          <w:rFonts w:ascii="Times New Roman" w:hAnsi="Times New Roman" w:cs="Times New Roman"/>
          <w:sz w:val="24"/>
          <w:szCs w:val="24"/>
        </w:rPr>
        <w:t xml:space="preserve">the </w:t>
      </w:r>
      <w:r w:rsidR="004C096B">
        <w:rPr>
          <w:rFonts w:ascii="Times New Roman" w:hAnsi="Times New Roman" w:cs="Times New Roman"/>
          <w:sz w:val="24"/>
          <w:szCs w:val="24"/>
        </w:rPr>
        <w:t xml:space="preserve">plaintiff’s wife died as a result of the negligence and wrong doing of one or other of the two persons charged with her death </w:t>
      </w:r>
      <w:r w:rsidR="00D86C1A">
        <w:rPr>
          <w:rFonts w:ascii="Times New Roman" w:hAnsi="Times New Roman" w:cs="Times New Roman"/>
          <w:sz w:val="24"/>
          <w:szCs w:val="24"/>
        </w:rPr>
        <w:t>was</w:t>
      </w:r>
      <w:r>
        <w:rPr>
          <w:rFonts w:ascii="Times New Roman" w:hAnsi="Times New Roman" w:cs="Times New Roman"/>
          <w:sz w:val="24"/>
          <w:szCs w:val="24"/>
        </w:rPr>
        <w:t>,</w:t>
      </w:r>
      <w:r w:rsidR="004C096B">
        <w:rPr>
          <w:rFonts w:ascii="Times New Roman" w:hAnsi="Times New Roman" w:cs="Times New Roman"/>
          <w:sz w:val="24"/>
          <w:szCs w:val="24"/>
        </w:rPr>
        <w:t xml:space="preserve"> immaterial to the issue of</w:t>
      </w:r>
      <w:r w:rsidR="00420FD3">
        <w:rPr>
          <w:rFonts w:ascii="Times New Roman" w:hAnsi="Times New Roman" w:cs="Times New Roman"/>
          <w:sz w:val="24"/>
          <w:szCs w:val="24"/>
        </w:rPr>
        <w:t xml:space="preserve"> the </w:t>
      </w:r>
      <w:r w:rsidR="004C096B">
        <w:rPr>
          <w:rFonts w:ascii="Times New Roman" w:hAnsi="Times New Roman" w:cs="Times New Roman"/>
          <w:sz w:val="24"/>
          <w:szCs w:val="24"/>
        </w:rPr>
        <w:t xml:space="preserve">plaintiff’s awareness of the facts giving rise to his claim. </w:t>
      </w:r>
      <w:r w:rsidR="00D86C1A">
        <w:rPr>
          <w:rFonts w:ascii="Times New Roman" w:hAnsi="Times New Roman" w:cs="Times New Roman"/>
          <w:sz w:val="24"/>
          <w:szCs w:val="24"/>
        </w:rPr>
        <w:t>Indeed, I opine that, w</w:t>
      </w:r>
      <w:r w:rsidR="004C096B">
        <w:rPr>
          <w:rFonts w:ascii="Times New Roman" w:hAnsi="Times New Roman" w:cs="Times New Roman"/>
          <w:sz w:val="24"/>
          <w:szCs w:val="24"/>
        </w:rPr>
        <w:t>hat matters is that at th</w:t>
      </w:r>
      <w:r w:rsidR="00465D22">
        <w:rPr>
          <w:rFonts w:ascii="Times New Roman" w:hAnsi="Times New Roman" w:cs="Times New Roman"/>
          <w:sz w:val="24"/>
          <w:szCs w:val="24"/>
        </w:rPr>
        <w:t>e very least, at the time the two</w:t>
      </w:r>
      <w:r w:rsidR="004C096B">
        <w:rPr>
          <w:rFonts w:ascii="Times New Roman" w:hAnsi="Times New Roman" w:cs="Times New Roman"/>
          <w:sz w:val="24"/>
          <w:szCs w:val="24"/>
        </w:rPr>
        <w:t xml:space="preserve"> drivers collided</w:t>
      </w:r>
      <w:r w:rsidR="00465D22">
        <w:rPr>
          <w:rFonts w:ascii="Times New Roman" w:hAnsi="Times New Roman" w:cs="Times New Roman"/>
          <w:sz w:val="24"/>
          <w:szCs w:val="24"/>
        </w:rPr>
        <w:t>,</w:t>
      </w:r>
      <w:r w:rsidR="004C096B">
        <w:rPr>
          <w:rFonts w:ascii="Times New Roman" w:hAnsi="Times New Roman" w:cs="Times New Roman"/>
          <w:sz w:val="24"/>
          <w:szCs w:val="24"/>
        </w:rPr>
        <w:t xml:space="preserve"> one or other </w:t>
      </w:r>
      <w:r w:rsidR="00465D22">
        <w:rPr>
          <w:rFonts w:ascii="Times New Roman" w:hAnsi="Times New Roman" w:cs="Times New Roman"/>
          <w:sz w:val="24"/>
          <w:szCs w:val="24"/>
        </w:rPr>
        <w:t xml:space="preserve">of them </w:t>
      </w:r>
      <w:r w:rsidR="004C096B">
        <w:rPr>
          <w:rFonts w:ascii="Times New Roman" w:hAnsi="Times New Roman" w:cs="Times New Roman"/>
          <w:sz w:val="24"/>
          <w:szCs w:val="24"/>
        </w:rPr>
        <w:t>caused the accident, and upon being informed that his wife</w:t>
      </w:r>
      <w:r w:rsidR="00465D22">
        <w:rPr>
          <w:rFonts w:ascii="Times New Roman" w:hAnsi="Times New Roman" w:cs="Times New Roman"/>
          <w:sz w:val="24"/>
          <w:szCs w:val="24"/>
        </w:rPr>
        <w:t xml:space="preserve"> had</w:t>
      </w:r>
      <w:r w:rsidR="004C096B">
        <w:rPr>
          <w:rFonts w:ascii="Times New Roman" w:hAnsi="Times New Roman" w:cs="Times New Roman"/>
          <w:sz w:val="24"/>
          <w:szCs w:val="24"/>
        </w:rPr>
        <w:t xml:space="preserve"> died in an accident, plaintiff became aware of </w:t>
      </w:r>
      <w:r w:rsidR="00465D22">
        <w:rPr>
          <w:rFonts w:ascii="Times New Roman" w:hAnsi="Times New Roman" w:cs="Times New Roman"/>
          <w:sz w:val="24"/>
          <w:szCs w:val="24"/>
        </w:rPr>
        <w:t xml:space="preserve">the </w:t>
      </w:r>
      <w:r w:rsidR="004C096B">
        <w:rPr>
          <w:rFonts w:ascii="Times New Roman" w:hAnsi="Times New Roman" w:cs="Times New Roman"/>
          <w:sz w:val="24"/>
          <w:szCs w:val="24"/>
        </w:rPr>
        <w:t xml:space="preserve">cause of his wife’s death. </w:t>
      </w:r>
    </w:p>
    <w:p w:rsidR="005A54F8" w:rsidRDefault="00D86C1A"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Thirdly, </w:t>
      </w:r>
      <w:r w:rsidR="004C096B">
        <w:rPr>
          <w:rFonts w:ascii="Times New Roman" w:hAnsi="Times New Roman" w:cs="Times New Roman"/>
          <w:sz w:val="24"/>
          <w:szCs w:val="24"/>
        </w:rPr>
        <w:t>I also</w:t>
      </w:r>
      <w:r w:rsidR="00A622E5">
        <w:rPr>
          <w:rFonts w:ascii="Times New Roman" w:hAnsi="Times New Roman" w:cs="Times New Roman"/>
          <w:sz w:val="24"/>
          <w:szCs w:val="24"/>
        </w:rPr>
        <w:t xml:space="preserve"> agree</w:t>
      </w:r>
      <w:r w:rsidR="004C096B">
        <w:rPr>
          <w:rFonts w:ascii="Times New Roman" w:hAnsi="Times New Roman" w:cs="Times New Roman"/>
          <w:sz w:val="24"/>
          <w:szCs w:val="24"/>
        </w:rPr>
        <w:t xml:space="preserve"> with</w:t>
      </w:r>
      <w:r w:rsidR="00420FD3">
        <w:rPr>
          <w:rFonts w:ascii="Times New Roman" w:hAnsi="Times New Roman" w:cs="Times New Roman"/>
          <w:sz w:val="24"/>
          <w:szCs w:val="24"/>
        </w:rPr>
        <w:t xml:space="preserve"> </w:t>
      </w:r>
      <w:r w:rsidR="003D621A">
        <w:rPr>
          <w:rFonts w:ascii="Times New Roman" w:hAnsi="Times New Roman" w:cs="Times New Roman"/>
          <w:sz w:val="24"/>
          <w:szCs w:val="24"/>
        </w:rPr>
        <w:t>the defendants</w:t>
      </w:r>
      <w:r w:rsidR="00A622E5">
        <w:rPr>
          <w:rFonts w:ascii="Times New Roman" w:hAnsi="Times New Roman" w:cs="Times New Roman"/>
          <w:sz w:val="24"/>
          <w:szCs w:val="24"/>
        </w:rPr>
        <w:t xml:space="preserve"> that the conviction of a person for his wrongdoing is a matter of evidence</w:t>
      </w:r>
      <w:r w:rsidR="005A54F8">
        <w:rPr>
          <w:rFonts w:ascii="Times New Roman" w:hAnsi="Times New Roman" w:cs="Times New Roman"/>
          <w:sz w:val="24"/>
          <w:szCs w:val="24"/>
        </w:rPr>
        <w:t xml:space="preserve"> which does not go towards discharging the onus of exercising reasonable care to</w:t>
      </w:r>
      <w:r w:rsidR="006D5A4F">
        <w:rPr>
          <w:rFonts w:ascii="Times New Roman" w:hAnsi="Times New Roman" w:cs="Times New Roman"/>
          <w:sz w:val="24"/>
          <w:szCs w:val="24"/>
        </w:rPr>
        <w:t xml:space="preserve"> discover </w:t>
      </w:r>
      <w:r w:rsidR="005A54F8">
        <w:rPr>
          <w:rFonts w:ascii="Times New Roman" w:hAnsi="Times New Roman" w:cs="Times New Roman"/>
          <w:sz w:val="24"/>
          <w:szCs w:val="24"/>
        </w:rPr>
        <w:t xml:space="preserve">the necessary </w:t>
      </w:r>
      <w:r w:rsidR="0090724D">
        <w:rPr>
          <w:rFonts w:ascii="Times New Roman" w:hAnsi="Times New Roman" w:cs="Times New Roman"/>
          <w:sz w:val="24"/>
          <w:szCs w:val="24"/>
        </w:rPr>
        <w:t xml:space="preserve">broad </w:t>
      </w:r>
      <w:r w:rsidR="005A54F8">
        <w:rPr>
          <w:rFonts w:ascii="Times New Roman" w:hAnsi="Times New Roman" w:cs="Times New Roman"/>
          <w:sz w:val="24"/>
          <w:szCs w:val="24"/>
        </w:rPr>
        <w:t xml:space="preserve">facts to support plaintiff’s </w:t>
      </w:r>
      <w:r w:rsidR="0090724D">
        <w:rPr>
          <w:rFonts w:ascii="Times New Roman" w:hAnsi="Times New Roman" w:cs="Times New Roman"/>
          <w:sz w:val="24"/>
          <w:szCs w:val="24"/>
        </w:rPr>
        <w:t>cause of action</w:t>
      </w:r>
      <w:r w:rsidR="00A622E5">
        <w:rPr>
          <w:rFonts w:ascii="Times New Roman" w:hAnsi="Times New Roman" w:cs="Times New Roman"/>
          <w:sz w:val="24"/>
          <w:szCs w:val="24"/>
        </w:rPr>
        <w:t xml:space="preserve">. </w:t>
      </w:r>
      <w:r w:rsidR="008C70A7">
        <w:rPr>
          <w:rFonts w:ascii="Times New Roman" w:hAnsi="Times New Roman" w:cs="Times New Roman"/>
          <w:sz w:val="24"/>
          <w:szCs w:val="24"/>
        </w:rPr>
        <w:t>See</w:t>
      </w:r>
      <w:r w:rsidR="008C70A7" w:rsidRPr="0090724D">
        <w:rPr>
          <w:rFonts w:ascii="Times New Roman" w:hAnsi="Times New Roman" w:cs="Times New Roman"/>
          <w:i/>
          <w:sz w:val="24"/>
          <w:szCs w:val="24"/>
        </w:rPr>
        <w:t xml:space="preserve"> Chiwawa </w:t>
      </w:r>
      <w:r w:rsidR="008C70A7" w:rsidRPr="00420FD3">
        <w:rPr>
          <w:rFonts w:ascii="Times New Roman" w:hAnsi="Times New Roman" w:cs="Times New Roman"/>
          <w:sz w:val="24"/>
          <w:szCs w:val="24"/>
        </w:rPr>
        <w:t>v</w:t>
      </w:r>
      <w:r w:rsidR="008C70A7" w:rsidRPr="0090724D">
        <w:rPr>
          <w:rFonts w:ascii="Times New Roman" w:hAnsi="Times New Roman" w:cs="Times New Roman"/>
          <w:i/>
          <w:sz w:val="24"/>
          <w:szCs w:val="24"/>
        </w:rPr>
        <w:t xml:space="preserve"> Mitzuris &amp; Ors</w:t>
      </w:r>
      <w:r w:rsidR="008C70A7">
        <w:rPr>
          <w:rFonts w:ascii="Times New Roman" w:hAnsi="Times New Roman" w:cs="Times New Roman"/>
          <w:sz w:val="24"/>
          <w:szCs w:val="24"/>
        </w:rPr>
        <w:t xml:space="preserve"> HH7/09</w:t>
      </w:r>
      <w:r w:rsidR="0090724D">
        <w:rPr>
          <w:rFonts w:ascii="Times New Roman" w:hAnsi="Times New Roman" w:cs="Times New Roman"/>
          <w:sz w:val="24"/>
          <w:szCs w:val="24"/>
        </w:rPr>
        <w:t xml:space="preserve"> at p</w:t>
      </w:r>
      <w:r w:rsidR="009D5059">
        <w:rPr>
          <w:rFonts w:ascii="Times New Roman" w:hAnsi="Times New Roman" w:cs="Times New Roman"/>
          <w:sz w:val="24"/>
          <w:szCs w:val="24"/>
        </w:rPr>
        <w:t xml:space="preserve"> </w:t>
      </w:r>
      <w:r w:rsidR="0090724D">
        <w:rPr>
          <w:rFonts w:ascii="Times New Roman" w:hAnsi="Times New Roman" w:cs="Times New Roman"/>
          <w:sz w:val="24"/>
          <w:szCs w:val="24"/>
        </w:rPr>
        <w:t>5</w:t>
      </w:r>
      <w:r w:rsidR="008C70A7">
        <w:rPr>
          <w:rFonts w:ascii="Times New Roman" w:hAnsi="Times New Roman" w:cs="Times New Roman"/>
          <w:sz w:val="24"/>
          <w:szCs w:val="24"/>
        </w:rPr>
        <w:t>.</w:t>
      </w:r>
      <w:r w:rsidR="0090724D">
        <w:rPr>
          <w:rFonts w:ascii="Times New Roman" w:hAnsi="Times New Roman" w:cs="Times New Roman"/>
          <w:sz w:val="24"/>
          <w:szCs w:val="24"/>
        </w:rPr>
        <w:t xml:space="preserve"> I would even go further and note that delictual liability </w:t>
      </w:r>
      <w:r>
        <w:rPr>
          <w:rFonts w:ascii="Times New Roman" w:hAnsi="Times New Roman" w:cs="Times New Roman"/>
          <w:sz w:val="24"/>
          <w:szCs w:val="24"/>
        </w:rPr>
        <w:t xml:space="preserve">is not predicated on </w:t>
      </w:r>
      <w:r w:rsidR="0090724D">
        <w:rPr>
          <w:rFonts w:ascii="Times New Roman" w:hAnsi="Times New Roman" w:cs="Times New Roman"/>
          <w:sz w:val="24"/>
          <w:szCs w:val="24"/>
        </w:rPr>
        <w:t>a conviction for any offence.</w:t>
      </w:r>
    </w:p>
    <w:p w:rsidR="006D5A4F" w:rsidRDefault="00D86C1A"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w:t>
      </w:r>
      <w:r w:rsidR="005A54F8">
        <w:rPr>
          <w:rFonts w:ascii="Times New Roman" w:hAnsi="Times New Roman" w:cs="Times New Roman"/>
          <w:sz w:val="24"/>
          <w:szCs w:val="24"/>
        </w:rPr>
        <w:t xml:space="preserve">I </w:t>
      </w:r>
      <w:r>
        <w:rPr>
          <w:rFonts w:ascii="Times New Roman" w:hAnsi="Times New Roman" w:cs="Times New Roman"/>
          <w:sz w:val="24"/>
          <w:szCs w:val="24"/>
        </w:rPr>
        <w:t xml:space="preserve">am not </w:t>
      </w:r>
      <w:r w:rsidR="00121BF2">
        <w:rPr>
          <w:rFonts w:ascii="Times New Roman" w:hAnsi="Times New Roman" w:cs="Times New Roman"/>
          <w:sz w:val="24"/>
          <w:szCs w:val="24"/>
        </w:rPr>
        <w:t>convinced</w:t>
      </w:r>
      <w:r w:rsidR="00B76124">
        <w:rPr>
          <w:rFonts w:ascii="Times New Roman" w:hAnsi="Times New Roman" w:cs="Times New Roman"/>
          <w:sz w:val="24"/>
          <w:szCs w:val="24"/>
        </w:rPr>
        <w:t xml:space="preserve"> by</w:t>
      </w:r>
      <w:r w:rsidR="005A54F8">
        <w:rPr>
          <w:rFonts w:ascii="Times New Roman" w:hAnsi="Times New Roman" w:cs="Times New Roman"/>
          <w:sz w:val="24"/>
          <w:szCs w:val="24"/>
        </w:rPr>
        <w:t xml:space="preserve"> the argument that plaintiff was not aware of </w:t>
      </w:r>
      <w:r w:rsidR="00420FD3">
        <w:rPr>
          <w:rFonts w:ascii="Times New Roman" w:hAnsi="Times New Roman" w:cs="Times New Roman"/>
          <w:sz w:val="24"/>
          <w:szCs w:val="24"/>
        </w:rPr>
        <w:t>the first</w:t>
      </w:r>
      <w:r w:rsidR="005A54F8">
        <w:rPr>
          <w:rFonts w:ascii="Times New Roman" w:hAnsi="Times New Roman" w:cs="Times New Roman"/>
          <w:sz w:val="24"/>
          <w:szCs w:val="24"/>
        </w:rPr>
        <w:t xml:space="preserve"> defendant’s identity </w:t>
      </w:r>
      <w:r w:rsidR="00B76124">
        <w:rPr>
          <w:rFonts w:ascii="Times New Roman" w:hAnsi="Times New Roman" w:cs="Times New Roman"/>
          <w:sz w:val="24"/>
          <w:szCs w:val="24"/>
        </w:rPr>
        <w:t>or</w:t>
      </w:r>
      <w:r w:rsidR="005A54F8">
        <w:rPr>
          <w:rFonts w:ascii="Times New Roman" w:hAnsi="Times New Roman" w:cs="Times New Roman"/>
          <w:sz w:val="24"/>
          <w:szCs w:val="24"/>
        </w:rPr>
        <w:t xml:space="preserve"> that </w:t>
      </w:r>
      <w:r w:rsidR="00B76124">
        <w:rPr>
          <w:rFonts w:ascii="Times New Roman" w:hAnsi="Times New Roman" w:cs="Times New Roman"/>
          <w:sz w:val="24"/>
          <w:szCs w:val="24"/>
        </w:rPr>
        <w:t>it</w:t>
      </w:r>
      <w:r w:rsidR="005A54F8">
        <w:rPr>
          <w:rFonts w:ascii="Times New Roman" w:hAnsi="Times New Roman" w:cs="Times New Roman"/>
          <w:sz w:val="24"/>
          <w:szCs w:val="24"/>
        </w:rPr>
        <w:t xml:space="preserve"> could also </w:t>
      </w:r>
      <w:r w:rsidR="00B76124">
        <w:rPr>
          <w:rFonts w:ascii="Times New Roman" w:hAnsi="Times New Roman" w:cs="Times New Roman"/>
          <w:sz w:val="24"/>
          <w:szCs w:val="24"/>
        </w:rPr>
        <w:t xml:space="preserve">be </w:t>
      </w:r>
      <w:r w:rsidR="005A54F8">
        <w:rPr>
          <w:rFonts w:ascii="Times New Roman" w:hAnsi="Times New Roman" w:cs="Times New Roman"/>
          <w:sz w:val="24"/>
          <w:szCs w:val="24"/>
        </w:rPr>
        <w:t>sue</w:t>
      </w:r>
      <w:r w:rsidR="00B76124">
        <w:rPr>
          <w:rFonts w:ascii="Times New Roman" w:hAnsi="Times New Roman" w:cs="Times New Roman"/>
          <w:sz w:val="24"/>
          <w:szCs w:val="24"/>
        </w:rPr>
        <w:t>d</w:t>
      </w:r>
      <w:r w:rsidR="005A54F8">
        <w:rPr>
          <w:rFonts w:ascii="Times New Roman" w:hAnsi="Times New Roman" w:cs="Times New Roman"/>
          <w:sz w:val="24"/>
          <w:szCs w:val="24"/>
        </w:rPr>
        <w:t xml:space="preserve"> until advised by his legal practitioners. </w:t>
      </w:r>
      <w:r w:rsidR="00B76124">
        <w:rPr>
          <w:rFonts w:ascii="Times New Roman" w:hAnsi="Times New Roman" w:cs="Times New Roman"/>
          <w:sz w:val="24"/>
          <w:szCs w:val="24"/>
        </w:rPr>
        <w:t xml:space="preserve">It is trite that ignorance of the law is no defence. And as rightly pointed out by defendants, if prescription was to be based on when one seeks advice from one’s legal practitioners, then matters would never prescribe. </w:t>
      </w:r>
    </w:p>
    <w:p w:rsidR="00434FE7" w:rsidRDefault="00B76124"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any case, a check with the police report would have revealed the owner</w:t>
      </w:r>
      <w:r w:rsidR="006D5A4F">
        <w:rPr>
          <w:rFonts w:ascii="Times New Roman" w:hAnsi="Times New Roman" w:cs="Times New Roman"/>
          <w:sz w:val="24"/>
          <w:szCs w:val="24"/>
        </w:rPr>
        <w:t>s</w:t>
      </w:r>
      <w:r>
        <w:rPr>
          <w:rFonts w:ascii="Times New Roman" w:hAnsi="Times New Roman" w:cs="Times New Roman"/>
          <w:sz w:val="24"/>
          <w:szCs w:val="24"/>
        </w:rPr>
        <w:t xml:space="preserve"> of the vehicles </w:t>
      </w:r>
      <w:r w:rsidR="006D5A4F">
        <w:rPr>
          <w:rFonts w:ascii="Times New Roman" w:hAnsi="Times New Roman" w:cs="Times New Roman"/>
          <w:sz w:val="24"/>
          <w:szCs w:val="24"/>
        </w:rPr>
        <w:t>involved in the accident,</w:t>
      </w:r>
      <w:r>
        <w:rPr>
          <w:rFonts w:ascii="Times New Roman" w:hAnsi="Times New Roman" w:cs="Times New Roman"/>
          <w:sz w:val="24"/>
          <w:szCs w:val="24"/>
        </w:rPr>
        <w:t xml:space="preserve"> the employer</w:t>
      </w:r>
      <w:r w:rsidR="006D5A4F">
        <w:rPr>
          <w:rFonts w:ascii="Times New Roman" w:hAnsi="Times New Roman" w:cs="Times New Roman"/>
          <w:sz w:val="24"/>
          <w:szCs w:val="24"/>
        </w:rPr>
        <w:t>s</w:t>
      </w:r>
      <w:r>
        <w:rPr>
          <w:rFonts w:ascii="Times New Roman" w:hAnsi="Times New Roman" w:cs="Times New Roman"/>
          <w:sz w:val="24"/>
          <w:szCs w:val="24"/>
        </w:rPr>
        <w:t xml:space="preserve"> of the drivers as appropriate</w:t>
      </w:r>
      <w:r w:rsidR="006D5A4F">
        <w:rPr>
          <w:rFonts w:ascii="Times New Roman" w:hAnsi="Times New Roman" w:cs="Times New Roman"/>
          <w:sz w:val="24"/>
          <w:szCs w:val="24"/>
        </w:rPr>
        <w:t xml:space="preserve"> and the material circumstances of the accident</w:t>
      </w:r>
      <w:r>
        <w:rPr>
          <w:rFonts w:ascii="Times New Roman" w:hAnsi="Times New Roman" w:cs="Times New Roman"/>
          <w:sz w:val="24"/>
          <w:szCs w:val="24"/>
        </w:rPr>
        <w:t>.</w:t>
      </w:r>
      <w:r w:rsidR="00B23C6D">
        <w:rPr>
          <w:rFonts w:ascii="Times New Roman" w:hAnsi="Times New Roman" w:cs="Times New Roman"/>
          <w:sz w:val="24"/>
          <w:szCs w:val="24"/>
        </w:rPr>
        <w:t xml:space="preserve"> </w:t>
      </w:r>
    </w:p>
    <w:p w:rsidR="00434FE7" w:rsidRDefault="00434FE7"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papers and at the hearing, </w:t>
      </w:r>
      <w:r w:rsidR="000C6EB5">
        <w:rPr>
          <w:rFonts w:ascii="Times New Roman" w:hAnsi="Times New Roman" w:cs="Times New Roman"/>
          <w:sz w:val="24"/>
          <w:szCs w:val="24"/>
        </w:rPr>
        <w:t>plaintiff d</w:t>
      </w:r>
      <w:r>
        <w:rPr>
          <w:rFonts w:ascii="Times New Roman" w:hAnsi="Times New Roman" w:cs="Times New Roman"/>
          <w:sz w:val="24"/>
          <w:szCs w:val="24"/>
        </w:rPr>
        <w:t xml:space="preserve">id </w:t>
      </w:r>
      <w:r w:rsidR="000C6EB5">
        <w:rPr>
          <w:rFonts w:ascii="Times New Roman" w:hAnsi="Times New Roman" w:cs="Times New Roman"/>
          <w:sz w:val="24"/>
          <w:szCs w:val="24"/>
        </w:rPr>
        <w:t>not d</w:t>
      </w:r>
      <w:r>
        <w:rPr>
          <w:rFonts w:ascii="Times New Roman" w:hAnsi="Times New Roman" w:cs="Times New Roman"/>
          <w:sz w:val="24"/>
          <w:szCs w:val="24"/>
        </w:rPr>
        <w:t>ispute</w:t>
      </w:r>
      <w:r w:rsidR="000C6EB5">
        <w:rPr>
          <w:rFonts w:ascii="Times New Roman" w:hAnsi="Times New Roman" w:cs="Times New Roman"/>
          <w:sz w:val="24"/>
          <w:szCs w:val="24"/>
        </w:rPr>
        <w:t xml:space="preserve"> that </w:t>
      </w:r>
      <w:r>
        <w:rPr>
          <w:rFonts w:ascii="Times New Roman" w:hAnsi="Times New Roman" w:cs="Times New Roman"/>
          <w:sz w:val="24"/>
          <w:szCs w:val="24"/>
        </w:rPr>
        <w:t xml:space="preserve">he </w:t>
      </w:r>
      <w:r w:rsidR="000C6EB5">
        <w:rPr>
          <w:rFonts w:ascii="Times New Roman" w:hAnsi="Times New Roman" w:cs="Times New Roman"/>
          <w:sz w:val="24"/>
          <w:szCs w:val="24"/>
        </w:rPr>
        <w:t>was aware</w:t>
      </w:r>
      <w:r>
        <w:rPr>
          <w:rFonts w:ascii="Times New Roman" w:hAnsi="Times New Roman" w:cs="Times New Roman"/>
          <w:sz w:val="24"/>
          <w:szCs w:val="24"/>
        </w:rPr>
        <w:t xml:space="preserve"> of his loss on the date of the accident. Nor can it be seriously challenged that, on the same day, he was aware how his loss occurred, i.e. through a road accident. Obviously the occurrence of a road accident presupposes wrongful or negligent conduct on the drivers involved, a fact which plaintiff was also aware of on the date of the accident. </w:t>
      </w:r>
    </w:p>
    <w:p w:rsidR="000C6EB5" w:rsidRDefault="00434FE7"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he claims not to have been aware of were the persons to hold culpable. However, acting as a reasonable man intent on protecting his interests, all he need to do to scale this hurdle was to check with the police report to obtain the necessary </w:t>
      </w:r>
      <w:r w:rsidR="00B54436">
        <w:rPr>
          <w:rFonts w:ascii="Times New Roman" w:hAnsi="Times New Roman" w:cs="Times New Roman"/>
          <w:sz w:val="24"/>
          <w:szCs w:val="24"/>
        </w:rPr>
        <w:t>facts</w:t>
      </w:r>
      <w:r>
        <w:rPr>
          <w:rFonts w:ascii="Times New Roman" w:hAnsi="Times New Roman" w:cs="Times New Roman"/>
          <w:sz w:val="24"/>
          <w:szCs w:val="24"/>
        </w:rPr>
        <w:t>. This he did not do.</w:t>
      </w:r>
      <w:r w:rsidR="00B54436">
        <w:rPr>
          <w:rFonts w:ascii="Times New Roman" w:hAnsi="Times New Roman" w:cs="Times New Roman"/>
          <w:sz w:val="24"/>
          <w:szCs w:val="24"/>
        </w:rPr>
        <w:t xml:space="preserve"> He waited for the prosecution and conviction of </w:t>
      </w:r>
      <w:r w:rsidR="00BA3998">
        <w:rPr>
          <w:rFonts w:ascii="Times New Roman" w:hAnsi="Times New Roman" w:cs="Times New Roman"/>
          <w:sz w:val="24"/>
          <w:szCs w:val="24"/>
        </w:rPr>
        <w:t xml:space="preserve">the second </w:t>
      </w:r>
      <w:r w:rsidR="00B54436">
        <w:rPr>
          <w:rFonts w:ascii="Times New Roman" w:hAnsi="Times New Roman" w:cs="Times New Roman"/>
          <w:sz w:val="24"/>
          <w:szCs w:val="24"/>
        </w:rPr>
        <w:t>defendant. And even after this, he let more than a year pass before issuing summons.</w:t>
      </w:r>
    </w:p>
    <w:p w:rsidR="00434FE7" w:rsidRDefault="00434FE7" w:rsidP="00434F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the principle that a debt becomes due when a plaintiff becomes aware of the broad facts grounding his cause cannot have been intended to protect a party who sits back and does not diligently or reasonably make any effort to unearth those facts as that would surely defeat the intention of the Prescription Act.</w:t>
      </w:r>
    </w:p>
    <w:p w:rsidR="00B81A4D" w:rsidRDefault="00B81A4D"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A70DFA">
        <w:rPr>
          <w:rFonts w:ascii="Times New Roman" w:hAnsi="Times New Roman" w:cs="Times New Roman"/>
          <w:sz w:val="24"/>
          <w:szCs w:val="24"/>
        </w:rPr>
        <w:t xml:space="preserve"> therefore find favour with</w:t>
      </w:r>
      <w:r>
        <w:rPr>
          <w:rFonts w:ascii="Times New Roman" w:hAnsi="Times New Roman" w:cs="Times New Roman"/>
          <w:sz w:val="24"/>
          <w:szCs w:val="24"/>
        </w:rPr>
        <w:t xml:space="preserve"> </w:t>
      </w:r>
      <w:r w:rsidR="00B76124">
        <w:rPr>
          <w:rFonts w:ascii="Times New Roman" w:hAnsi="Times New Roman" w:cs="Times New Roman"/>
          <w:sz w:val="24"/>
          <w:szCs w:val="24"/>
        </w:rPr>
        <w:t>defendants’</w:t>
      </w:r>
      <w:r>
        <w:rPr>
          <w:rFonts w:ascii="Times New Roman" w:hAnsi="Times New Roman" w:cs="Times New Roman"/>
          <w:sz w:val="24"/>
          <w:szCs w:val="24"/>
        </w:rPr>
        <w:t xml:space="preserve"> argument that in cases such as these</w:t>
      </w:r>
      <w:r w:rsidR="00A70DFA">
        <w:rPr>
          <w:rFonts w:ascii="Times New Roman" w:hAnsi="Times New Roman" w:cs="Times New Roman"/>
          <w:sz w:val="24"/>
          <w:szCs w:val="24"/>
        </w:rPr>
        <w:t>, generally a</w:t>
      </w:r>
      <w:r>
        <w:rPr>
          <w:rFonts w:ascii="Times New Roman" w:hAnsi="Times New Roman" w:cs="Times New Roman"/>
          <w:sz w:val="24"/>
          <w:szCs w:val="24"/>
        </w:rPr>
        <w:t xml:space="preserve"> plaintiff ought reasonably to be </w:t>
      </w:r>
      <w:r w:rsidR="00B76124">
        <w:rPr>
          <w:rFonts w:ascii="Times New Roman" w:hAnsi="Times New Roman" w:cs="Times New Roman"/>
          <w:sz w:val="24"/>
          <w:szCs w:val="24"/>
        </w:rPr>
        <w:t xml:space="preserve">deemed to be </w:t>
      </w:r>
      <w:r>
        <w:rPr>
          <w:rFonts w:ascii="Times New Roman" w:hAnsi="Times New Roman" w:cs="Times New Roman"/>
          <w:sz w:val="24"/>
          <w:szCs w:val="24"/>
        </w:rPr>
        <w:t xml:space="preserve">aware of the facts from which his cause of action arises </w:t>
      </w:r>
      <w:r w:rsidR="00B76124">
        <w:rPr>
          <w:rFonts w:ascii="Times New Roman" w:hAnsi="Times New Roman" w:cs="Times New Roman"/>
          <w:sz w:val="24"/>
          <w:szCs w:val="24"/>
        </w:rPr>
        <w:t>at the time</w:t>
      </w:r>
      <w:r>
        <w:rPr>
          <w:rFonts w:ascii="Times New Roman" w:hAnsi="Times New Roman" w:cs="Times New Roman"/>
          <w:sz w:val="24"/>
          <w:szCs w:val="24"/>
        </w:rPr>
        <w:t xml:space="preserve"> the accident occurs or at the latest when the driver is charged.</w:t>
      </w:r>
    </w:p>
    <w:p w:rsidR="00B76124" w:rsidRDefault="00A70DFA"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A834FE">
        <w:rPr>
          <w:rFonts w:ascii="Times New Roman" w:hAnsi="Times New Roman" w:cs="Times New Roman"/>
          <w:sz w:val="24"/>
          <w:szCs w:val="24"/>
        </w:rPr>
        <w:t xml:space="preserve">n answer to plaintiff’s averment that prescription was interrupted on 12 September 2013, </w:t>
      </w:r>
      <w:r w:rsidR="00757B19">
        <w:rPr>
          <w:rFonts w:ascii="Times New Roman" w:hAnsi="Times New Roman" w:cs="Times New Roman"/>
          <w:sz w:val="24"/>
          <w:szCs w:val="24"/>
        </w:rPr>
        <w:t xml:space="preserve">the defendants argued that the issuance of a notice of intention to sue in terms of </w:t>
      </w:r>
      <w:r w:rsidR="00A834FE">
        <w:rPr>
          <w:rFonts w:ascii="Times New Roman" w:hAnsi="Times New Roman" w:cs="Times New Roman"/>
          <w:sz w:val="24"/>
          <w:szCs w:val="24"/>
        </w:rPr>
        <w:t xml:space="preserve">the State Liabilities Act </w:t>
      </w:r>
      <w:r w:rsidR="004506D6">
        <w:rPr>
          <w:rFonts w:ascii="Times New Roman" w:hAnsi="Times New Roman" w:cs="Times New Roman"/>
          <w:sz w:val="24"/>
          <w:szCs w:val="24"/>
        </w:rPr>
        <w:t>[</w:t>
      </w:r>
      <w:r w:rsidR="00A834FE" w:rsidRPr="004506D6">
        <w:rPr>
          <w:rFonts w:ascii="Times New Roman" w:hAnsi="Times New Roman" w:cs="Times New Roman"/>
          <w:i/>
          <w:sz w:val="24"/>
          <w:szCs w:val="24"/>
        </w:rPr>
        <w:t>Chapter 8:14</w:t>
      </w:r>
      <w:r w:rsidR="004506D6">
        <w:rPr>
          <w:rFonts w:ascii="Times New Roman" w:hAnsi="Times New Roman" w:cs="Times New Roman"/>
          <w:sz w:val="24"/>
          <w:szCs w:val="24"/>
        </w:rPr>
        <w:t>]</w:t>
      </w:r>
      <w:r w:rsidR="00A834FE">
        <w:rPr>
          <w:rFonts w:ascii="Times New Roman" w:hAnsi="Times New Roman" w:cs="Times New Roman"/>
          <w:sz w:val="24"/>
          <w:szCs w:val="24"/>
        </w:rPr>
        <w:t xml:space="preserve"> does not interrupt prescription as such notice is not process of the Court.</w:t>
      </w:r>
    </w:p>
    <w:p w:rsidR="00A834FE" w:rsidRDefault="00A834FE"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7(1) of the State Liabilities Act defines process as</w:t>
      </w:r>
      <w:r w:rsidR="006A4037">
        <w:rPr>
          <w:rFonts w:ascii="Times New Roman" w:hAnsi="Times New Roman" w:cs="Times New Roman"/>
          <w:sz w:val="24"/>
          <w:szCs w:val="24"/>
        </w:rPr>
        <w:t>:</w:t>
      </w:r>
      <w:r>
        <w:rPr>
          <w:rFonts w:ascii="Times New Roman" w:hAnsi="Times New Roman" w:cs="Times New Roman"/>
          <w:sz w:val="24"/>
          <w:szCs w:val="24"/>
        </w:rPr>
        <w:t xml:space="preserve"> </w:t>
      </w:r>
    </w:p>
    <w:p w:rsidR="00A834FE" w:rsidRPr="00D16F37" w:rsidRDefault="00D16F37" w:rsidP="00D16F37">
      <w:pPr>
        <w:spacing w:after="0" w:line="240" w:lineRule="auto"/>
        <w:ind w:firstLine="720"/>
        <w:jc w:val="both"/>
        <w:rPr>
          <w:rFonts w:ascii="Times New Roman" w:hAnsi="Times New Roman" w:cs="Times New Roman"/>
        </w:rPr>
      </w:pPr>
      <w:r w:rsidRPr="00D16F37">
        <w:rPr>
          <w:rFonts w:ascii="Times New Roman" w:hAnsi="Times New Roman" w:cs="Times New Roman"/>
        </w:rPr>
        <w:t>“</w:t>
      </w:r>
      <w:r w:rsidR="00A834FE" w:rsidRPr="00D16F37">
        <w:rPr>
          <w:rFonts w:ascii="Times New Roman" w:hAnsi="Times New Roman" w:cs="Times New Roman"/>
        </w:rPr>
        <w:t>(a) A petition……….</w:t>
      </w:r>
    </w:p>
    <w:p w:rsidR="00A834FE" w:rsidRPr="00D16F37" w:rsidRDefault="00A834FE" w:rsidP="00D16F37">
      <w:pPr>
        <w:spacing w:after="0" w:line="240" w:lineRule="auto"/>
        <w:ind w:firstLine="720"/>
        <w:jc w:val="both"/>
        <w:rPr>
          <w:rFonts w:ascii="Times New Roman" w:hAnsi="Times New Roman" w:cs="Times New Roman"/>
        </w:rPr>
      </w:pPr>
      <w:r w:rsidRPr="00D16F37">
        <w:rPr>
          <w:rFonts w:ascii="Times New Roman" w:hAnsi="Times New Roman" w:cs="Times New Roman"/>
        </w:rPr>
        <w:t>(b) A notice of motion……….</w:t>
      </w:r>
    </w:p>
    <w:p w:rsidR="00A834FE" w:rsidRPr="00D16F37" w:rsidRDefault="00A834FE" w:rsidP="00D16F37">
      <w:pPr>
        <w:spacing w:after="0" w:line="240" w:lineRule="auto"/>
        <w:ind w:firstLine="720"/>
        <w:jc w:val="both"/>
        <w:rPr>
          <w:rFonts w:ascii="Times New Roman" w:hAnsi="Times New Roman" w:cs="Times New Roman"/>
        </w:rPr>
      </w:pPr>
      <w:r w:rsidRPr="00D16F37">
        <w:rPr>
          <w:rFonts w:ascii="Times New Roman" w:hAnsi="Times New Roman" w:cs="Times New Roman"/>
        </w:rPr>
        <w:t>(c) A rule</w:t>
      </w:r>
      <w:r w:rsidRPr="00D16F37">
        <w:rPr>
          <w:rFonts w:ascii="Times New Roman" w:hAnsi="Times New Roman" w:cs="Times New Roman"/>
          <w:i/>
        </w:rPr>
        <w:t xml:space="preserve"> nisi</w:t>
      </w:r>
      <w:r w:rsidRPr="00D16F37">
        <w:rPr>
          <w:rFonts w:ascii="Times New Roman" w:hAnsi="Times New Roman" w:cs="Times New Roman"/>
        </w:rPr>
        <w:t>…</w:t>
      </w:r>
    </w:p>
    <w:p w:rsidR="00A834FE" w:rsidRDefault="00A834FE" w:rsidP="00D16F37">
      <w:pPr>
        <w:spacing w:after="0" w:line="240" w:lineRule="auto"/>
        <w:ind w:firstLine="720"/>
        <w:jc w:val="both"/>
        <w:rPr>
          <w:rFonts w:ascii="Times New Roman" w:hAnsi="Times New Roman" w:cs="Times New Roman"/>
        </w:rPr>
      </w:pPr>
      <w:r w:rsidRPr="00D16F37">
        <w:rPr>
          <w:rFonts w:ascii="Times New Roman" w:hAnsi="Times New Roman" w:cs="Times New Roman"/>
        </w:rPr>
        <w:t>(d) Any other document whereby legal proceedings are commenced”</w:t>
      </w:r>
    </w:p>
    <w:p w:rsidR="00D16F37" w:rsidRPr="00D16F37" w:rsidRDefault="00D16F37" w:rsidP="00D16F37">
      <w:pPr>
        <w:spacing w:after="0" w:line="240" w:lineRule="auto"/>
        <w:ind w:firstLine="720"/>
        <w:jc w:val="both"/>
        <w:rPr>
          <w:rFonts w:ascii="Times New Roman" w:hAnsi="Times New Roman" w:cs="Times New Roman"/>
        </w:rPr>
      </w:pPr>
    </w:p>
    <w:p w:rsidR="00A834FE" w:rsidRDefault="00A834FE"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6</w:t>
      </w:r>
      <w:r w:rsidR="007041E2">
        <w:rPr>
          <w:rFonts w:ascii="Times New Roman" w:hAnsi="Times New Roman" w:cs="Times New Roman"/>
          <w:sz w:val="24"/>
          <w:szCs w:val="24"/>
        </w:rPr>
        <w:t xml:space="preserve"> </w:t>
      </w:r>
      <w:r>
        <w:rPr>
          <w:rFonts w:ascii="Times New Roman" w:hAnsi="Times New Roman" w:cs="Times New Roman"/>
          <w:sz w:val="24"/>
          <w:szCs w:val="24"/>
        </w:rPr>
        <w:t>(4) of the</w:t>
      </w:r>
      <w:r w:rsidR="007041E2">
        <w:rPr>
          <w:rFonts w:ascii="Times New Roman" w:hAnsi="Times New Roman" w:cs="Times New Roman"/>
          <w:sz w:val="24"/>
          <w:szCs w:val="24"/>
        </w:rPr>
        <w:t xml:space="preserve"> Prescription Act provides that:</w:t>
      </w:r>
    </w:p>
    <w:p w:rsidR="00A834FE" w:rsidRDefault="00A834FE" w:rsidP="007041E2">
      <w:pPr>
        <w:spacing w:after="0" w:line="240" w:lineRule="auto"/>
        <w:ind w:left="720"/>
        <w:jc w:val="both"/>
        <w:rPr>
          <w:rFonts w:ascii="Times New Roman" w:hAnsi="Times New Roman" w:cs="Times New Roman"/>
        </w:rPr>
      </w:pPr>
      <w:r w:rsidRPr="007041E2">
        <w:rPr>
          <w:rFonts w:ascii="Times New Roman" w:hAnsi="Times New Roman" w:cs="Times New Roman"/>
        </w:rPr>
        <w:t>“…legal proceedings shall be deemed to be instituted by service of process, including a notice of application…and any other document by which legal proceedings are commenced in which the claim is made</w:t>
      </w:r>
      <w:r w:rsidR="007041E2">
        <w:rPr>
          <w:rFonts w:ascii="Times New Roman" w:hAnsi="Times New Roman" w:cs="Times New Roman"/>
        </w:rPr>
        <w:t>.”</w:t>
      </w:r>
    </w:p>
    <w:p w:rsidR="007041E2" w:rsidRPr="007041E2" w:rsidRDefault="007041E2" w:rsidP="007041E2">
      <w:pPr>
        <w:spacing w:after="0" w:line="240" w:lineRule="auto"/>
        <w:ind w:left="720"/>
        <w:jc w:val="both"/>
        <w:rPr>
          <w:rFonts w:ascii="Times New Roman" w:hAnsi="Times New Roman" w:cs="Times New Roman"/>
        </w:rPr>
      </w:pPr>
    </w:p>
    <w:p w:rsidR="00C0774E" w:rsidRDefault="00491C24"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question is whether</w:t>
      </w:r>
      <w:r w:rsidR="00A70DFA">
        <w:rPr>
          <w:rFonts w:ascii="Times New Roman" w:hAnsi="Times New Roman" w:cs="Times New Roman"/>
          <w:sz w:val="24"/>
          <w:szCs w:val="24"/>
        </w:rPr>
        <w:t>, within the parameters of</w:t>
      </w:r>
      <w:r>
        <w:rPr>
          <w:rFonts w:ascii="Times New Roman" w:hAnsi="Times New Roman" w:cs="Times New Roman"/>
          <w:sz w:val="24"/>
          <w:szCs w:val="24"/>
        </w:rPr>
        <w:t xml:space="preserve"> s </w:t>
      </w:r>
      <w:r w:rsidR="00A834FE">
        <w:rPr>
          <w:rFonts w:ascii="Times New Roman" w:hAnsi="Times New Roman" w:cs="Times New Roman"/>
          <w:sz w:val="24"/>
          <w:szCs w:val="24"/>
        </w:rPr>
        <w:t>7</w:t>
      </w:r>
      <w:r>
        <w:rPr>
          <w:rFonts w:ascii="Times New Roman" w:hAnsi="Times New Roman" w:cs="Times New Roman"/>
          <w:sz w:val="24"/>
          <w:szCs w:val="24"/>
        </w:rPr>
        <w:t xml:space="preserve"> </w:t>
      </w:r>
      <w:r w:rsidR="00A834FE">
        <w:rPr>
          <w:rFonts w:ascii="Times New Roman" w:hAnsi="Times New Roman" w:cs="Times New Roman"/>
          <w:sz w:val="24"/>
          <w:szCs w:val="24"/>
        </w:rPr>
        <w:t>(1)</w:t>
      </w:r>
      <w:r>
        <w:rPr>
          <w:rFonts w:ascii="Times New Roman" w:hAnsi="Times New Roman" w:cs="Times New Roman"/>
          <w:sz w:val="24"/>
          <w:szCs w:val="24"/>
        </w:rPr>
        <w:t xml:space="preserve"> </w:t>
      </w:r>
      <w:r w:rsidR="00A834FE">
        <w:rPr>
          <w:rFonts w:ascii="Times New Roman" w:hAnsi="Times New Roman" w:cs="Times New Roman"/>
          <w:sz w:val="24"/>
          <w:szCs w:val="24"/>
        </w:rPr>
        <w:t>(d) of</w:t>
      </w:r>
      <w:r>
        <w:rPr>
          <w:rFonts w:ascii="Times New Roman" w:hAnsi="Times New Roman" w:cs="Times New Roman"/>
          <w:sz w:val="24"/>
          <w:szCs w:val="24"/>
        </w:rPr>
        <w:t xml:space="preserve"> the State Liabilities Act and s </w:t>
      </w:r>
      <w:r w:rsidR="00A834FE">
        <w:rPr>
          <w:rFonts w:ascii="Times New Roman" w:hAnsi="Times New Roman" w:cs="Times New Roman"/>
          <w:sz w:val="24"/>
          <w:szCs w:val="24"/>
        </w:rPr>
        <w:t>6</w:t>
      </w:r>
      <w:r>
        <w:rPr>
          <w:rFonts w:ascii="Times New Roman" w:hAnsi="Times New Roman" w:cs="Times New Roman"/>
          <w:sz w:val="24"/>
          <w:szCs w:val="24"/>
        </w:rPr>
        <w:t xml:space="preserve"> </w:t>
      </w:r>
      <w:r w:rsidR="00A70DFA">
        <w:rPr>
          <w:rFonts w:ascii="Times New Roman" w:hAnsi="Times New Roman" w:cs="Times New Roman"/>
          <w:sz w:val="24"/>
          <w:szCs w:val="24"/>
        </w:rPr>
        <w:t>(4) of the Prescription Act,</w:t>
      </w:r>
      <w:r w:rsidR="00A834FE">
        <w:rPr>
          <w:rFonts w:ascii="Times New Roman" w:hAnsi="Times New Roman" w:cs="Times New Roman"/>
          <w:sz w:val="24"/>
          <w:szCs w:val="24"/>
        </w:rPr>
        <w:t xml:space="preserve"> a notice </w:t>
      </w:r>
      <w:r w:rsidR="00F147D1">
        <w:rPr>
          <w:rFonts w:ascii="Times New Roman" w:hAnsi="Times New Roman" w:cs="Times New Roman"/>
          <w:sz w:val="24"/>
          <w:szCs w:val="24"/>
        </w:rPr>
        <w:t>o</w:t>
      </w:r>
      <w:r w:rsidR="00A834FE">
        <w:rPr>
          <w:rFonts w:ascii="Times New Roman" w:hAnsi="Times New Roman" w:cs="Times New Roman"/>
          <w:sz w:val="24"/>
          <w:szCs w:val="24"/>
        </w:rPr>
        <w:t xml:space="preserve">f intention to sue </w:t>
      </w:r>
      <w:r w:rsidR="00A70DFA">
        <w:rPr>
          <w:rFonts w:ascii="Times New Roman" w:hAnsi="Times New Roman" w:cs="Times New Roman"/>
          <w:sz w:val="24"/>
          <w:szCs w:val="24"/>
        </w:rPr>
        <w:t xml:space="preserve">can be considered </w:t>
      </w:r>
      <w:r w:rsidR="00A834FE">
        <w:rPr>
          <w:rFonts w:ascii="Times New Roman" w:hAnsi="Times New Roman" w:cs="Times New Roman"/>
          <w:sz w:val="24"/>
          <w:szCs w:val="24"/>
        </w:rPr>
        <w:t>as commencement of proceedings</w:t>
      </w:r>
      <w:r w:rsidR="00F147D1">
        <w:rPr>
          <w:rFonts w:ascii="Times New Roman" w:hAnsi="Times New Roman" w:cs="Times New Roman"/>
          <w:sz w:val="24"/>
          <w:szCs w:val="24"/>
        </w:rPr>
        <w:t>, the service of which, in terms of s</w:t>
      </w:r>
      <w:r w:rsidR="00446A5D">
        <w:rPr>
          <w:rFonts w:ascii="Times New Roman" w:hAnsi="Times New Roman" w:cs="Times New Roman"/>
          <w:sz w:val="24"/>
          <w:szCs w:val="24"/>
        </w:rPr>
        <w:t xml:space="preserve"> </w:t>
      </w:r>
      <w:r w:rsidR="00F147D1">
        <w:rPr>
          <w:rFonts w:ascii="Times New Roman" w:hAnsi="Times New Roman" w:cs="Times New Roman"/>
          <w:sz w:val="24"/>
          <w:szCs w:val="24"/>
        </w:rPr>
        <w:t>7</w:t>
      </w:r>
      <w:r w:rsidR="00446A5D">
        <w:rPr>
          <w:rFonts w:ascii="Times New Roman" w:hAnsi="Times New Roman" w:cs="Times New Roman"/>
          <w:sz w:val="24"/>
          <w:szCs w:val="24"/>
        </w:rPr>
        <w:t xml:space="preserve"> </w:t>
      </w:r>
      <w:r w:rsidR="00F147D1">
        <w:rPr>
          <w:rFonts w:ascii="Times New Roman" w:hAnsi="Times New Roman" w:cs="Times New Roman"/>
          <w:sz w:val="24"/>
          <w:szCs w:val="24"/>
        </w:rPr>
        <w:t xml:space="preserve">(2) of the Prescription Act, interrupts the running of prescription </w:t>
      </w:r>
      <w:r w:rsidR="00A834FE">
        <w:rPr>
          <w:rFonts w:ascii="Times New Roman" w:hAnsi="Times New Roman" w:cs="Times New Roman"/>
          <w:sz w:val="24"/>
          <w:szCs w:val="24"/>
        </w:rPr>
        <w:t>. I think not</w:t>
      </w:r>
      <w:r w:rsidR="006D5A4F">
        <w:rPr>
          <w:rFonts w:ascii="Times New Roman" w:hAnsi="Times New Roman" w:cs="Times New Roman"/>
          <w:sz w:val="24"/>
          <w:szCs w:val="24"/>
        </w:rPr>
        <w:t>,</w:t>
      </w:r>
      <w:r w:rsidR="00121BF2">
        <w:rPr>
          <w:rFonts w:ascii="Times New Roman" w:hAnsi="Times New Roman" w:cs="Times New Roman"/>
          <w:sz w:val="24"/>
          <w:szCs w:val="24"/>
        </w:rPr>
        <w:t xml:space="preserve"> as s</w:t>
      </w:r>
      <w:r w:rsidR="00446A5D">
        <w:rPr>
          <w:rFonts w:ascii="Times New Roman" w:hAnsi="Times New Roman" w:cs="Times New Roman"/>
          <w:sz w:val="24"/>
          <w:szCs w:val="24"/>
        </w:rPr>
        <w:t xml:space="preserve"> </w:t>
      </w:r>
      <w:r w:rsidR="00121BF2">
        <w:rPr>
          <w:rFonts w:ascii="Times New Roman" w:hAnsi="Times New Roman" w:cs="Times New Roman"/>
          <w:sz w:val="24"/>
          <w:szCs w:val="24"/>
        </w:rPr>
        <w:t xml:space="preserve">7 of the Prescription Act in its ordinary meaning is intended </w:t>
      </w:r>
      <w:r w:rsidR="006D5A4F">
        <w:rPr>
          <w:rFonts w:ascii="Times New Roman" w:hAnsi="Times New Roman" w:cs="Times New Roman"/>
          <w:sz w:val="24"/>
          <w:szCs w:val="24"/>
        </w:rPr>
        <w:t xml:space="preserve">to denote to </w:t>
      </w:r>
      <w:r w:rsidR="00121BF2">
        <w:rPr>
          <w:rFonts w:ascii="Times New Roman" w:hAnsi="Times New Roman" w:cs="Times New Roman"/>
          <w:sz w:val="24"/>
          <w:szCs w:val="24"/>
        </w:rPr>
        <w:t>judicial process</w:t>
      </w:r>
      <w:r w:rsidR="00A834FE">
        <w:rPr>
          <w:rFonts w:ascii="Times New Roman" w:hAnsi="Times New Roman" w:cs="Times New Roman"/>
          <w:sz w:val="24"/>
          <w:szCs w:val="24"/>
        </w:rPr>
        <w:t>,</w:t>
      </w:r>
      <w:r w:rsidR="00121BF2">
        <w:rPr>
          <w:rFonts w:ascii="Times New Roman" w:hAnsi="Times New Roman" w:cs="Times New Roman"/>
          <w:sz w:val="24"/>
          <w:szCs w:val="24"/>
        </w:rPr>
        <w:t xml:space="preserve"> i.e. process filed in court. My view is buttressed by</w:t>
      </w:r>
      <w:r w:rsidR="00C0774E">
        <w:rPr>
          <w:rFonts w:ascii="Times New Roman" w:hAnsi="Times New Roman" w:cs="Times New Roman"/>
          <w:sz w:val="24"/>
          <w:szCs w:val="24"/>
        </w:rPr>
        <w:t xml:space="preserve"> the ordinary meaning of</w:t>
      </w:r>
      <w:r w:rsidR="00A834FE">
        <w:rPr>
          <w:rFonts w:ascii="Times New Roman" w:hAnsi="Times New Roman" w:cs="Times New Roman"/>
          <w:sz w:val="24"/>
          <w:szCs w:val="24"/>
        </w:rPr>
        <w:t xml:space="preserve"> </w:t>
      </w:r>
      <w:r w:rsidR="00B54436">
        <w:rPr>
          <w:rFonts w:ascii="Times New Roman" w:hAnsi="Times New Roman" w:cs="Times New Roman"/>
          <w:sz w:val="24"/>
          <w:szCs w:val="24"/>
        </w:rPr>
        <w:t>“process</w:t>
      </w:r>
      <w:r w:rsidR="001A6379">
        <w:rPr>
          <w:rFonts w:ascii="Times New Roman" w:hAnsi="Times New Roman" w:cs="Times New Roman"/>
          <w:sz w:val="24"/>
          <w:szCs w:val="24"/>
        </w:rPr>
        <w:t>”</w:t>
      </w:r>
      <w:r w:rsidR="00A834FE">
        <w:rPr>
          <w:rFonts w:ascii="Times New Roman" w:hAnsi="Times New Roman" w:cs="Times New Roman"/>
          <w:sz w:val="24"/>
          <w:szCs w:val="24"/>
        </w:rPr>
        <w:t xml:space="preserve"> </w:t>
      </w:r>
      <w:r w:rsidR="00121BF2">
        <w:rPr>
          <w:rFonts w:ascii="Times New Roman" w:hAnsi="Times New Roman" w:cs="Times New Roman"/>
          <w:sz w:val="24"/>
          <w:szCs w:val="24"/>
        </w:rPr>
        <w:t xml:space="preserve">which </w:t>
      </w:r>
      <w:r w:rsidR="00A834FE">
        <w:rPr>
          <w:rFonts w:ascii="Times New Roman" w:hAnsi="Times New Roman" w:cs="Times New Roman"/>
          <w:sz w:val="24"/>
          <w:szCs w:val="24"/>
        </w:rPr>
        <w:t xml:space="preserve">is defined as </w:t>
      </w:r>
    </w:p>
    <w:p w:rsidR="00121BF2" w:rsidRPr="001A6379" w:rsidRDefault="00C0774E" w:rsidP="001A6379">
      <w:pPr>
        <w:spacing w:after="0" w:line="276" w:lineRule="auto"/>
        <w:ind w:left="720"/>
        <w:jc w:val="both"/>
        <w:rPr>
          <w:rFonts w:ascii="Times New Roman" w:hAnsi="Times New Roman" w:cs="Times New Roman"/>
        </w:rPr>
      </w:pPr>
      <w:r w:rsidRPr="001A6379">
        <w:rPr>
          <w:rFonts w:ascii="Times New Roman" w:hAnsi="Times New Roman" w:cs="Times New Roman"/>
        </w:rPr>
        <w:t xml:space="preserve">“formal notice or writ used by a court to exercise jurisdiction over a person or property..” </w:t>
      </w:r>
    </w:p>
    <w:p w:rsidR="00C0774E" w:rsidRPr="001A6379" w:rsidRDefault="00C0774E" w:rsidP="001A6379">
      <w:pPr>
        <w:spacing w:after="0" w:line="276" w:lineRule="auto"/>
        <w:ind w:firstLine="720"/>
        <w:jc w:val="both"/>
        <w:rPr>
          <w:rFonts w:ascii="Times New Roman" w:hAnsi="Times New Roman" w:cs="Times New Roman"/>
        </w:rPr>
      </w:pPr>
      <w:r w:rsidRPr="001A6379">
        <w:rPr>
          <w:rFonts w:ascii="Times New Roman" w:hAnsi="Times New Roman" w:cs="Times New Roman"/>
        </w:rPr>
        <w:t xml:space="preserve">or </w:t>
      </w:r>
    </w:p>
    <w:p w:rsidR="001A6379" w:rsidRPr="001A6379" w:rsidRDefault="00C0774E" w:rsidP="001A6379">
      <w:pPr>
        <w:spacing w:after="0" w:line="360" w:lineRule="auto"/>
        <w:ind w:left="720"/>
        <w:jc w:val="both"/>
        <w:rPr>
          <w:rFonts w:ascii="Times New Roman" w:hAnsi="Times New Roman" w:cs="Times New Roman"/>
        </w:rPr>
      </w:pPr>
      <w:r w:rsidRPr="001A6379">
        <w:rPr>
          <w:rFonts w:ascii="Times New Roman" w:hAnsi="Times New Roman" w:cs="Times New Roman"/>
        </w:rPr>
        <w:t xml:space="preserve">“summons, writ, certiorari, charge, citation, controversy, lawsuit, prosecution, </w:t>
      </w:r>
      <w:r w:rsidR="00121BF2" w:rsidRPr="001A6379">
        <w:rPr>
          <w:rFonts w:ascii="Times New Roman" w:hAnsi="Times New Roman" w:cs="Times New Roman"/>
        </w:rPr>
        <w:t>search</w:t>
      </w:r>
      <w:r w:rsidRPr="001A6379">
        <w:rPr>
          <w:rFonts w:ascii="Times New Roman" w:hAnsi="Times New Roman" w:cs="Times New Roman"/>
        </w:rPr>
        <w:t xml:space="preserve"> warrant, supbpoena, complaint. </w:t>
      </w:r>
      <w:r w:rsidRPr="001A6379">
        <w:rPr>
          <w:rFonts w:ascii="Times New Roman" w:hAnsi="Times New Roman" w:cs="Times New Roman"/>
          <w:u w:val="single"/>
        </w:rPr>
        <w:t>Any means used by a court to acquire or exercise its jurisdiction</w:t>
      </w:r>
      <w:r w:rsidR="007154B8" w:rsidRPr="001A6379">
        <w:rPr>
          <w:rFonts w:ascii="Times New Roman" w:hAnsi="Times New Roman" w:cs="Times New Roman"/>
        </w:rPr>
        <w:t>.</w:t>
      </w:r>
      <w:r w:rsidRPr="001A6379">
        <w:rPr>
          <w:rFonts w:ascii="Times New Roman" w:hAnsi="Times New Roman" w:cs="Times New Roman"/>
        </w:rPr>
        <w:t>”</w:t>
      </w:r>
      <w:r w:rsidR="001A6379" w:rsidRPr="001A6379">
        <w:rPr>
          <w:rFonts w:ascii="Times New Roman" w:hAnsi="Times New Roman" w:cs="Times New Roman"/>
        </w:rPr>
        <w:t xml:space="preserve"> (my emphasis)</w:t>
      </w:r>
    </w:p>
    <w:p w:rsidR="00A834FE" w:rsidRPr="00121BF2" w:rsidRDefault="00C0774E" w:rsidP="001A6379">
      <w:pPr>
        <w:spacing w:after="0" w:line="360" w:lineRule="auto"/>
        <w:ind w:firstLine="720"/>
        <w:jc w:val="both"/>
        <w:rPr>
          <w:rFonts w:ascii="Times New Roman" w:hAnsi="Times New Roman" w:cs="Times New Roman"/>
          <w:i/>
          <w:sz w:val="24"/>
          <w:szCs w:val="24"/>
        </w:rPr>
      </w:pPr>
      <w:r w:rsidRPr="00446A5D">
        <w:rPr>
          <w:rFonts w:ascii="Times New Roman" w:hAnsi="Times New Roman" w:cs="Times New Roman"/>
          <w:sz w:val="24"/>
          <w:szCs w:val="24"/>
        </w:rPr>
        <w:t>(See</w:t>
      </w:r>
      <w:r w:rsidRPr="00121BF2">
        <w:rPr>
          <w:rFonts w:ascii="Times New Roman" w:hAnsi="Times New Roman" w:cs="Times New Roman"/>
          <w:i/>
          <w:sz w:val="24"/>
          <w:szCs w:val="24"/>
        </w:rPr>
        <w:t xml:space="preserve"> Wikipedia </w:t>
      </w:r>
      <w:r w:rsidRPr="00446A5D">
        <w:rPr>
          <w:rFonts w:ascii="Times New Roman" w:hAnsi="Times New Roman" w:cs="Times New Roman"/>
          <w:sz w:val="24"/>
          <w:szCs w:val="24"/>
        </w:rPr>
        <w:t>and</w:t>
      </w:r>
      <w:r w:rsidR="00446A5D" w:rsidRPr="00446A5D">
        <w:rPr>
          <w:rFonts w:ascii="Times New Roman" w:hAnsi="Times New Roman" w:cs="Times New Roman"/>
          <w:i/>
          <w:sz w:val="24"/>
          <w:szCs w:val="24"/>
        </w:rPr>
        <w:t xml:space="preserve"> The</w:t>
      </w:r>
      <w:r w:rsidR="00446A5D" w:rsidRPr="00121BF2">
        <w:rPr>
          <w:rFonts w:ascii="Times New Roman" w:hAnsi="Times New Roman" w:cs="Times New Roman"/>
          <w:i/>
          <w:sz w:val="24"/>
          <w:szCs w:val="24"/>
        </w:rPr>
        <w:t xml:space="preserve"> </w:t>
      </w:r>
      <w:r w:rsidRPr="00121BF2">
        <w:rPr>
          <w:rFonts w:ascii="Times New Roman" w:hAnsi="Times New Roman" w:cs="Times New Roman"/>
          <w:i/>
          <w:sz w:val="24"/>
          <w:szCs w:val="24"/>
        </w:rPr>
        <w:t>Legal Dictionary</w:t>
      </w:r>
      <w:r w:rsidR="00121BF2">
        <w:rPr>
          <w:rFonts w:ascii="Times New Roman" w:hAnsi="Times New Roman" w:cs="Times New Roman"/>
          <w:i/>
          <w:sz w:val="24"/>
          <w:szCs w:val="24"/>
        </w:rPr>
        <w:t xml:space="preserve"> </w:t>
      </w:r>
      <w:r w:rsidR="00121BF2">
        <w:rPr>
          <w:rFonts w:ascii="Times New Roman" w:hAnsi="Times New Roman" w:cs="Times New Roman"/>
          <w:sz w:val="24"/>
          <w:szCs w:val="24"/>
        </w:rPr>
        <w:t>respectively</w:t>
      </w:r>
      <w:r w:rsidRPr="00121BF2">
        <w:rPr>
          <w:rFonts w:ascii="Times New Roman" w:hAnsi="Times New Roman" w:cs="Times New Roman"/>
          <w:i/>
          <w:sz w:val="24"/>
          <w:szCs w:val="24"/>
        </w:rPr>
        <w:t>).</w:t>
      </w:r>
    </w:p>
    <w:p w:rsidR="00A834FE" w:rsidRDefault="00121BF2" w:rsidP="001A63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therefore persuaded by defendants</w:t>
      </w:r>
      <w:r w:rsidR="006D5A4F">
        <w:rPr>
          <w:rFonts w:ascii="Times New Roman" w:hAnsi="Times New Roman" w:cs="Times New Roman"/>
          <w:sz w:val="24"/>
          <w:szCs w:val="24"/>
        </w:rPr>
        <w:t>’</w:t>
      </w:r>
      <w:r>
        <w:rPr>
          <w:rFonts w:ascii="Times New Roman" w:hAnsi="Times New Roman" w:cs="Times New Roman"/>
          <w:sz w:val="24"/>
          <w:szCs w:val="24"/>
        </w:rPr>
        <w:t xml:space="preserve"> argument that a notice of intention to sue in terms of the State Liabilities Act is not legal process for the purposes of s</w:t>
      </w:r>
      <w:r w:rsidR="007154B8">
        <w:rPr>
          <w:rFonts w:ascii="Times New Roman" w:hAnsi="Times New Roman" w:cs="Times New Roman"/>
          <w:sz w:val="24"/>
          <w:szCs w:val="24"/>
        </w:rPr>
        <w:t xml:space="preserve"> </w:t>
      </w:r>
      <w:r>
        <w:rPr>
          <w:rFonts w:ascii="Times New Roman" w:hAnsi="Times New Roman" w:cs="Times New Roman"/>
          <w:sz w:val="24"/>
          <w:szCs w:val="24"/>
        </w:rPr>
        <w:t>7</w:t>
      </w:r>
      <w:r w:rsidR="007154B8">
        <w:rPr>
          <w:rFonts w:ascii="Times New Roman" w:hAnsi="Times New Roman" w:cs="Times New Roman"/>
          <w:sz w:val="24"/>
          <w:szCs w:val="24"/>
        </w:rPr>
        <w:t xml:space="preserve"> </w:t>
      </w:r>
      <w:r>
        <w:rPr>
          <w:rFonts w:ascii="Times New Roman" w:hAnsi="Times New Roman" w:cs="Times New Roman"/>
          <w:sz w:val="24"/>
          <w:szCs w:val="24"/>
        </w:rPr>
        <w:t>(2) of the Prescription Act.</w:t>
      </w:r>
      <w:r w:rsidR="003D621A">
        <w:rPr>
          <w:rFonts w:ascii="Times New Roman" w:hAnsi="Times New Roman" w:cs="Times New Roman"/>
          <w:sz w:val="24"/>
          <w:szCs w:val="24"/>
        </w:rPr>
        <w:t xml:space="preserve"> The time lag between the notice of intention to sue and the issuance of summons suggest to me that the plaintiff laboured under the misconception that the notice to sue had interrupted p</w:t>
      </w:r>
      <w:r w:rsidR="006D4A16">
        <w:rPr>
          <w:rFonts w:ascii="Times New Roman" w:hAnsi="Times New Roman" w:cs="Times New Roman"/>
          <w:sz w:val="24"/>
          <w:szCs w:val="24"/>
        </w:rPr>
        <w:t>rescrip</w:t>
      </w:r>
      <w:r w:rsidR="003D621A">
        <w:rPr>
          <w:rFonts w:ascii="Times New Roman" w:hAnsi="Times New Roman" w:cs="Times New Roman"/>
          <w:sz w:val="24"/>
          <w:szCs w:val="24"/>
        </w:rPr>
        <w:t>tion and he therefore did not have to act expeditiously. He is therefore hoist by his own petard.</w:t>
      </w:r>
    </w:p>
    <w:p w:rsidR="00DD7DFB" w:rsidRDefault="0090724D" w:rsidP="00DD7D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Consequently, I find that </w:t>
      </w:r>
      <w:r w:rsidR="007C13E3">
        <w:rPr>
          <w:rFonts w:ascii="Times New Roman" w:hAnsi="Times New Roman" w:cs="Times New Roman"/>
          <w:sz w:val="24"/>
          <w:szCs w:val="24"/>
        </w:rPr>
        <w:t xml:space="preserve">the </w:t>
      </w:r>
      <w:r>
        <w:rPr>
          <w:rFonts w:ascii="Times New Roman" w:hAnsi="Times New Roman" w:cs="Times New Roman"/>
          <w:sz w:val="24"/>
          <w:szCs w:val="24"/>
        </w:rPr>
        <w:t>plaintiff is deemed to have been aware of the material or broad facts from which his cause of action arose as at the time of the accident from which his wife died, that is, on 16 August 2011. As a result, the debt due to him from the de</w:t>
      </w:r>
      <w:r w:rsidR="00312E97">
        <w:rPr>
          <w:rFonts w:ascii="Times New Roman" w:hAnsi="Times New Roman" w:cs="Times New Roman"/>
          <w:sz w:val="24"/>
          <w:szCs w:val="24"/>
        </w:rPr>
        <w:t>fendants arose from that date. Therefore, when</w:t>
      </w:r>
      <w:r w:rsidR="00312E97" w:rsidRPr="00312E97">
        <w:rPr>
          <w:rFonts w:ascii="Times New Roman" w:hAnsi="Times New Roman" w:cs="Times New Roman"/>
          <w:sz w:val="24"/>
          <w:szCs w:val="24"/>
        </w:rPr>
        <w:t xml:space="preserve"> </w:t>
      </w:r>
      <w:r w:rsidR="00312E97">
        <w:rPr>
          <w:rFonts w:ascii="Times New Roman" w:hAnsi="Times New Roman" w:cs="Times New Roman"/>
          <w:sz w:val="24"/>
          <w:szCs w:val="24"/>
        </w:rPr>
        <w:t>s</w:t>
      </w:r>
      <w:r w:rsidR="00312E97" w:rsidRPr="00312E97">
        <w:rPr>
          <w:rFonts w:ascii="Times New Roman" w:hAnsi="Times New Roman" w:cs="Times New Roman"/>
          <w:sz w:val="24"/>
          <w:szCs w:val="24"/>
        </w:rPr>
        <w:t xml:space="preserve">ummons </w:t>
      </w:r>
      <w:r w:rsidR="00312E97">
        <w:rPr>
          <w:rFonts w:ascii="Times New Roman" w:hAnsi="Times New Roman" w:cs="Times New Roman"/>
          <w:sz w:val="24"/>
          <w:szCs w:val="24"/>
        </w:rPr>
        <w:t>were</w:t>
      </w:r>
      <w:r w:rsidR="00312E97" w:rsidRPr="00312E97">
        <w:rPr>
          <w:rFonts w:ascii="Times New Roman" w:hAnsi="Times New Roman" w:cs="Times New Roman"/>
          <w:sz w:val="24"/>
          <w:szCs w:val="24"/>
        </w:rPr>
        <w:t xml:space="preserve"> served on</w:t>
      </w:r>
      <w:r w:rsidR="00312E97">
        <w:rPr>
          <w:rFonts w:ascii="Times New Roman" w:hAnsi="Times New Roman" w:cs="Times New Roman"/>
          <w:sz w:val="24"/>
          <w:szCs w:val="24"/>
        </w:rPr>
        <w:t xml:space="preserve"> </w:t>
      </w:r>
      <w:r>
        <w:rPr>
          <w:rFonts w:ascii="Times New Roman" w:hAnsi="Times New Roman" w:cs="Times New Roman"/>
          <w:sz w:val="24"/>
          <w:szCs w:val="24"/>
        </w:rPr>
        <w:t>9 October 2014, his claim had therefore prescribed.</w:t>
      </w:r>
      <w:r w:rsidR="008D3EEB">
        <w:rPr>
          <w:rFonts w:ascii="Times New Roman" w:hAnsi="Times New Roman" w:cs="Times New Roman"/>
          <w:sz w:val="24"/>
          <w:szCs w:val="24"/>
        </w:rPr>
        <w:t xml:space="preserve"> </w:t>
      </w:r>
    </w:p>
    <w:p w:rsidR="00D84833" w:rsidRDefault="00D84833" w:rsidP="00DD7DFB">
      <w:pPr>
        <w:spacing w:after="0" w:line="360" w:lineRule="auto"/>
        <w:jc w:val="both"/>
        <w:rPr>
          <w:rFonts w:ascii="Times New Roman" w:hAnsi="Times New Roman" w:cs="Times New Roman"/>
          <w:sz w:val="24"/>
          <w:szCs w:val="24"/>
          <w:u w:val="single"/>
        </w:rPr>
      </w:pPr>
    </w:p>
    <w:p w:rsidR="00DD7DFB" w:rsidRPr="0016583E" w:rsidRDefault="00DD7DFB" w:rsidP="00DD7DFB">
      <w:pPr>
        <w:spacing w:after="0" w:line="360" w:lineRule="auto"/>
        <w:jc w:val="both"/>
        <w:rPr>
          <w:rFonts w:ascii="Times New Roman" w:hAnsi="Times New Roman" w:cs="Times New Roman"/>
          <w:sz w:val="24"/>
          <w:szCs w:val="24"/>
          <w:u w:val="single"/>
        </w:rPr>
      </w:pPr>
      <w:r w:rsidRPr="0016583E">
        <w:rPr>
          <w:rFonts w:ascii="Times New Roman" w:hAnsi="Times New Roman" w:cs="Times New Roman"/>
          <w:sz w:val="24"/>
          <w:szCs w:val="24"/>
          <w:u w:val="single"/>
        </w:rPr>
        <w:t>COSTS</w:t>
      </w:r>
    </w:p>
    <w:p w:rsidR="00DD7DFB" w:rsidRDefault="00A317CB" w:rsidP="00E22C0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7C13E3">
        <w:rPr>
          <w:rFonts w:ascii="Times New Roman" w:hAnsi="Times New Roman" w:cs="Times New Roman"/>
          <w:sz w:val="24"/>
          <w:szCs w:val="24"/>
        </w:rPr>
        <w:tab/>
      </w:r>
      <w:r w:rsidR="00DD7DFB">
        <w:rPr>
          <w:rFonts w:ascii="Times New Roman" w:hAnsi="Times New Roman" w:cs="Times New Roman"/>
          <w:sz w:val="24"/>
          <w:szCs w:val="24"/>
        </w:rPr>
        <w:t>I was not addressed as to costs during the hearing,</w:t>
      </w:r>
      <w:r w:rsidR="006D4A16">
        <w:rPr>
          <w:rFonts w:ascii="Times New Roman" w:hAnsi="Times New Roman" w:cs="Times New Roman"/>
          <w:sz w:val="24"/>
          <w:szCs w:val="24"/>
        </w:rPr>
        <w:t xml:space="preserve"> particularly on the issue of cost</w:t>
      </w:r>
      <w:r w:rsidR="00312E97">
        <w:rPr>
          <w:rFonts w:ascii="Times New Roman" w:hAnsi="Times New Roman" w:cs="Times New Roman"/>
          <w:sz w:val="24"/>
          <w:szCs w:val="24"/>
        </w:rPr>
        <w:t>s</w:t>
      </w:r>
      <w:r w:rsidR="006D4A16">
        <w:rPr>
          <w:rFonts w:ascii="Times New Roman" w:hAnsi="Times New Roman" w:cs="Times New Roman"/>
          <w:sz w:val="24"/>
          <w:szCs w:val="24"/>
        </w:rPr>
        <w:t xml:space="preserve"> on the higher scale claimed in the summons,</w:t>
      </w:r>
      <w:r w:rsidR="00DD7DFB">
        <w:rPr>
          <w:rFonts w:ascii="Times New Roman" w:hAnsi="Times New Roman" w:cs="Times New Roman"/>
          <w:sz w:val="24"/>
          <w:szCs w:val="24"/>
        </w:rPr>
        <w:t xml:space="preserve"> and find myself constrained in that regard. </w:t>
      </w:r>
      <w:r w:rsidR="004E4DB9">
        <w:rPr>
          <w:rFonts w:ascii="Times New Roman" w:hAnsi="Times New Roman" w:cs="Times New Roman"/>
          <w:sz w:val="24"/>
          <w:szCs w:val="24"/>
        </w:rPr>
        <w:t xml:space="preserve">However, </w:t>
      </w:r>
      <w:r w:rsidR="006D4A16">
        <w:rPr>
          <w:rFonts w:ascii="Times New Roman" w:hAnsi="Times New Roman" w:cs="Times New Roman"/>
          <w:sz w:val="24"/>
          <w:szCs w:val="24"/>
        </w:rPr>
        <w:t xml:space="preserve">I </w:t>
      </w:r>
      <w:r w:rsidR="00312E97">
        <w:rPr>
          <w:rFonts w:ascii="Times New Roman" w:hAnsi="Times New Roman" w:cs="Times New Roman"/>
          <w:sz w:val="24"/>
          <w:szCs w:val="24"/>
        </w:rPr>
        <w:t>note</w:t>
      </w:r>
      <w:r w:rsidR="006D4A16">
        <w:rPr>
          <w:rFonts w:ascii="Times New Roman" w:hAnsi="Times New Roman" w:cs="Times New Roman"/>
          <w:sz w:val="24"/>
          <w:szCs w:val="24"/>
        </w:rPr>
        <w:t xml:space="preserve"> that costs normally follow the result. T</w:t>
      </w:r>
      <w:r w:rsidR="00E22C0D">
        <w:rPr>
          <w:rFonts w:ascii="Times New Roman" w:hAnsi="Times New Roman" w:cs="Times New Roman"/>
          <w:sz w:val="24"/>
          <w:szCs w:val="24"/>
        </w:rPr>
        <w:t xml:space="preserve">he </w:t>
      </w:r>
      <w:r w:rsidR="004E4DB9">
        <w:rPr>
          <w:rFonts w:ascii="Times New Roman" w:hAnsi="Times New Roman" w:cs="Times New Roman"/>
          <w:sz w:val="24"/>
          <w:szCs w:val="24"/>
        </w:rPr>
        <w:t>plaintiff having succeeded on one issue, and the defendants on two,</w:t>
      </w:r>
      <w:r w:rsidR="00010365">
        <w:rPr>
          <w:rFonts w:ascii="Times New Roman" w:hAnsi="Times New Roman" w:cs="Times New Roman"/>
          <w:sz w:val="24"/>
          <w:szCs w:val="24"/>
        </w:rPr>
        <w:t xml:space="preserve"> I believe that</w:t>
      </w:r>
      <w:r w:rsidR="004E4DB9">
        <w:rPr>
          <w:rFonts w:ascii="Times New Roman" w:hAnsi="Times New Roman" w:cs="Times New Roman"/>
          <w:sz w:val="24"/>
          <w:szCs w:val="24"/>
        </w:rPr>
        <w:t xml:space="preserve"> it is just and equitable that plaintiff should pay defendants two thirds of their costs</w:t>
      </w:r>
      <w:r w:rsidR="006D4A16">
        <w:rPr>
          <w:rFonts w:ascii="Times New Roman" w:hAnsi="Times New Roman" w:cs="Times New Roman"/>
          <w:sz w:val="24"/>
          <w:szCs w:val="24"/>
        </w:rPr>
        <w:t xml:space="preserve"> on the ordinary scale</w:t>
      </w:r>
      <w:r w:rsidR="004E4DB9">
        <w:rPr>
          <w:rFonts w:ascii="Times New Roman" w:hAnsi="Times New Roman" w:cs="Times New Roman"/>
          <w:sz w:val="24"/>
          <w:szCs w:val="24"/>
        </w:rPr>
        <w:t>.</w:t>
      </w:r>
    </w:p>
    <w:p w:rsidR="006D4A16" w:rsidRPr="0052092A" w:rsidRDefault="006D4A16" w:rsidP="00E22C0D">
      <w:pPr>
        <w:spacing w:after="0" w:line="360" w:lineRule="auto"/>
        <w:ind w:left="-360"/>
        <w:jc w:val="both"/>
        <w:rPr>
          <w:rFonts w:ascii="Times New Roman" w:hAnsi="Times New Roman" w:cs="Times New Roman"/>
          <w:sz w:val="24"/>
          <w:szCs w:val="24"/>
          <w:u w:val="single"/>
        </w:rPr>
      </w:pPr>
    </w:p>
    <w:p w:rsidR="006D4A16" w:rsidRPr="0052092A" w:rsidRDefault="006D4A16" w:rsidP="006D4A16">
      <w:pPr>
        <w:spacing w:after="0" w:line="360" w:lineRule="auto"/>
        <w:ind w:left="-360"/>
        <w:jc w:val="both"/>
        <w:rPr>
          <w:rFonts w:ascii="Times New Roman" w:hAnsi="Times New Roman" w:cs="Times New Roman"/>
          <w:sz w:val="24"/>
          <w:szCs w:val="24"/>
          <w:u w:val="single"/>
        </w:rPr>
      </w:pPr>
      <w:r w:rsidRPr="0052092A">
        <w:rPr>
          <w:rFonts w:ascii="Times New Roman" w:hAnsi="Times New Roman" w:cs="Times New Roman"/>
          <w:sz w:val="24"/>
          <w:szCs w:val="24"/>
          <w:u w:val="single"/>
        </w:rPr>
        <w:t>DISPOSITION</w:t>
      </w:r>
    </w:p>
    <w:p w:rsidR="006D4A16" w:rsidRDefault="006D4A16" w:rsidP="00D92BF7">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In t</w:t>
      </w:r>
      <w:r w:rsidR="00320282" w:rsidRPr="006D4A16">
        <w:rPr>
          <w:rFonts w:ascii="Times New Roman" w:hAnsi="Times New Roman" w:cs="Times New Roman"/>
          <w:sz w:val="24"/>
          <w:szCs w:val="24"/>
        </w:rPr>
        <w:t xml:space="preserve">he event, it is </w:t>
      </w:r>
      <w:r w:rsidR="00DD7DFB" w:rsidRPr="006D4A16">
        <w:rPr>
          <w:rFonts w:ascii="Times New Roman" w:hAnsi="Times New Roman" w:cs="Times New Roman"/>
          <w:sz w:val="24"/>
          <w:szCs w:val="24"/>
        </w:rPr>
        <w:t>ordered</w:t>
      </w:r>
      <w:r w:rsidR="00320282" w:rsidRPr="006D4A16">
        <w:rPr>
          <w:rFonts w:ascii="Times New Roman" w:hAnsi="Times New Roman" w:cs="Times New Roman"/>
          <w:sz w:val="24"/>
          <w:szCs w:val="24"/>
        </w:rPr>
        <w:t xml:space="preserve"> that</w:t>
      </w:r>
      <w:r w:rsidR="005D43D8" w:rsidRPr="006D4A16">
        <w:rPr>
          <w:rFonts w:ascii="Times New Roman" w:hAnsi="Times New Roman" w:cs="Times New Roman"/>
          <w:sz w:val="24"/>
          <w:szCs w:val="24"/>
        </w:rPr>
        <w:t xml:space="preserve"> </w:t>
      </w:r>
    </w:p>
    <w:p w:rsidR="00320282" w:rsidRPr="006D4A16" w:rsidRDefault="006D4A16" w:rsidP="006D4A16">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5D43D8" w:rsidRPr="006D4A16">
        <w:rPr>
          <w:rFonts w:ascii="Times New Roman" w:hAnsi="Times New Roman" w:cs="Times New Roman"/>
          <w:sz w:val="24"/>
          <w:szCs w:val="24"/>
        </w:rPr>
        <w:t>he special plea is upheld in the following respects</w:t>
      </w:r>
      <w:r w:rsidR="00320282" w:rsidRPr="006D4A16">
        <w:rPr>
          <w:rFonts w:ascii="Times New Roman" w:hAnsi="Times New Roman" w:cs="Times New Roman"/>
          <w:sz w:val="24"/>
          <w:szCs w:val="24"/>
        </w:rPr>
        <w:t>:</w:t>
      </w:r>
    </w:p>
    <w:p w:rsidR="00EC32D5" w:rsidRDefault="00EC32D5" w:rsidP="00010365">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District Development Fund is </w:t>
      </w:r>
      <w:r w:rsidR="00DD7DFB">
        <w:rPr>
          <w:rFonts w:ascii="Times New Roman" w:hAnsi="Times New Roman" w:cs="Times New Roman"/>
          <w:sz w:val="24"/>
          <w:szCs w:val="24"/>
        </w:rPr>
        <w:t xml:space="preserve">not a legal person and is thus </w:t>
      </w:r>
      <w:r>
        <w:rPr>
          <w:rFonts w:ascii="Times New Roman" w:hAnsi="Times New Roman" w:cs="Times New Roman"/>
          <w:sz w:val="24"/>
          <w:szCs w:val="24"/>
        </w:rPr>
        <w:t>improperly cited</w:t>
      </w:r>
      <w:r w:rsidR="00DD7DFB">
        <w:rPr>
          <w:rFonts w:ascii="Times New Roman" w:hAnsi="Times New Roman" w:cs="Times New Roman"/>
          <w:sz w:val="24"/>
          <w:szCs w:val="24"/>
        </w:rPr>
        <w:t>;</w:t>
      </w:r>
    </w:p>
    <w:p w:rsidR="006D4A16" w:rsidRDefault="00EC32D5" w:rsidP="006D4A16">
      <w:pPr>
        <w:pStyle w:val="ListParagraph"/>
        <w:numPr>
          <w:ilvl w:val="0"/>
          <w:numId w:val="12"/>
        </w:numPr>
        <w:spacing w:line="360" w:lineRule="auto"/>
        <w:jc w:val="both"/>
        <w:rPr>
          <w:rFonts w:ascii="Times New Roman" w:hAnsi="Times New Roman" w:cs="Times New Roman"/>
          <w:sz w:val="24"/>
          <w:szCs w:val="24"/>
        </w:rPr>
      </w:pPr>
      <w:r w:rsidRPr="00010365">
        <w:rPr>
          <w:rFonts w:ascii="Times New Roman" w:hAnsi="Times New Roman" w:cs="Times New Roman"/>
          <w:sz w:val="24"/>
          <w:szCs w:val="24"/>
        </w:rPr>
        <w:t>The matter has prescribed</w:t>
      </w:r>
      <w:r w:rsidR="00202A27" w:rsidRPr="00010365">
        <w:rPr>
          <w:rFonts w:ascii="Times New Roman" w:hAnsi="Times New Roman" w:cs="Times New Roman"/>
          <w:sz w:val="24"/>
          <w:szCs w:val="24"/>
        </w:rPr>
        <w:t>;</w:t>
      </w:r>
    </w:p>
    <w:p w:rsidR="00ED0D37" w:rsidRDefault="00DD7DFB" w:rsidP="00ED0D37">
      <w:pPr>
        <w:pStyle w:val="ListParagraph"/>
        <w:numPr>
          <w:ilvl w:val="0"/>
          <w:numId w:val="13"/>
        </w:numPr>
        <w:spacing w:line="360" w:lineRule="auto"/>
        <w:jc w:val="both"/>
        <w:rPr>
          <w:rFonts w:ascii="Times New Roman" w:hAnsi="Times New Roman" w:cs="Times New Roman"/>
          <w:sz w:val="24"/>
          <w:szCs w:val="24"/>
        </w:rPr>
      </w:pPr>
      <w:r w:rsidRPr="006D4A16">
        <w:rPr>
          <w:rFonts w:ascii="Times New Roman" w:hAnsi="Times New Roman" w:cs="Times New Roman"/>
          <w:sz w:val="24"/>
          <w:szCs w:val="24"/>
        </w:rPr>
        <w:t>Plaintiff shall pay two thirds of defendants</w:t>
      </w:r>
      <w:r w:rsidR="004E4DB9" w:rsidRPr="006D4A16">
        <w:rPr>
          <w:rFonts w:ascii="Times New Roman" w:hAnsi="Times New Roman" w:cs="Times New Roman"/>
          <w:sz w:val="24"/>
          <w:szCs w:val="24"/>
        </w:rPr>
        <w:t>’</w:t>
      </w:r>
      <w:r w:rsidRPr="006D4A16">
        <w:rPr>
          <w:rFonts w:ascii="Times New Roman" w:hAnsi="Times New Roman" w:cs="Times New Roman"/>
          <w:sz w:val="24"/>
          <w:szCs w:val="24"/>
        </w:rPr>
        <w:t xml:space="preserve"> costs</w:t>
      </w:r>
      <w:r w:rsidR="00320282" w:rsidRPr="006D4A16">
        <w:rPr>
          <w:rFonts w:ascii="Times New Roman" w:hAnsi="Times New Roman" w:cs="Times New Roman"/>
          <w:sz w:val="24"/>
          <w:szCs w:val="24"/>
        </w:rPr>
        <w:t xml:space="preserve">. </w:t>
      </w:r>
    </w:p>
    <w:p w:rsidR="00ED0D37" w:rsidRDefault="00ED0D37" w:rsidP="00ED0D37">
      <w:pPr>
        <w:pStyle w:val="ListParagraph"/>
        <w:spacing w:line="360" w:lineRule="auto"/>
        <w:ind w:left="-360"/>
        <w:jc w:val="both"/>
        <w:rPr>
          <w:rFonts w:ascii="Times New Roman" w:hAnsi="Times New Roman" w:cs="Times New Roman"/>
          <w:i/>
          <w:sz w:val="24"/>
          <w:szCs w:val="24"/>
        </w:rPr>
      </w:pPr>
    </w:p>
    <w:p w:rsidR="00ED0D37" w:rsidRDefault="00ED0D37" w:rsidP="00ED0D37">
      <w:pPr>
        <w:pStyle w:val="ListParagraph"/>
        <w:spacing w:line="360" w:lineRule="auto"/>
        <w:ind w:left="-360"/>
        <w:jc w:val="both"/>
        <w:rPr>
          <w:rFonts w:ascii="Times New Roman" w:hAnsi="Times New Roman" w:cs="Times New Roman"/>
          <w:i/>
          <w:sz w:val="24"/>
          <w:szCs w:val="24"/>
        </w:rPr>
      </w:pPr>
    </w:p>
    <w:p w:rsidR="00ED0D37" w:rsidRDefault="00ED0D37" w:rsidP="00ED0D37">
      <w:pPr>
        <w:pStyle w:val="ListParagraph"/>
        <w:spacing w:line="360" w:lineRule="auto"/>
        <w:ind w:left="-360"/>
        <w:jc w:val="both"/>
        <w:rPr>
          <w:rFonts w:ascii="Times New Roman" w:hAnsi="Times New Roman" w:cs="Times New Roman"/>
          <w:i/>
          <w:sz w:val="24"/>
          <w:szCs w:val="24"/>
        </w:rPr>
      </w:pPr>
    </w:p>
    <w:p w:rsidR="00D611EB" w:rsidRPr="00ED0D37" w:rsidRDefault="00D611EB" w:rsidP="00ED0D37">
      <w:pPr>
        <w:pStyle w:val="ListParagraph"/>
        <w:spacing w:after="0" w:line="240" w:lineRule="auto"/>
        <w:ind w:left="-360"/>
        <w:jc w:val="both"/>
        <w:rPr>
          <w:rFonts w:ascii="Times New Roman" w:hAnsi="Times New Roman" w:cs="Times New Roman"/>
          <w:sz w:val="24"/>
          <w:szCs w:val="24"/>
        </w:rPr>
      </w:pPr>
      <w:r w:rsidRPr="00ED0D37">
        <w:rPr>
          <w:rFonts w:ascii="Times New Roman" w:hAnsi="Times New Roman" w:cs="Times New Roman"/>
          <w:i/>
          <w:sz w:val="24"/>
          <w:szCs w:val="24"/>
        </w:rPr>
        <w:t>M</w:t>
      </w:r>
      <w:r w:rsidR="004E4DB9" w:rsidRPr="00ED0D37">
        <w:rPr>
          <w:rFonts w:ascii="Times New Roman" w:hAnsi="Times New Roman" w:cs="Times New Roman"/>
          <w:i/>
          <w:sz w:val="24"/>
          <w:szCs w:val="24"/>
        </w:rPr>
        <w:t>ushangwe</w:t>
      </w:r>
      <w:r w:rsidR="00DB2BAC" w:rsidRPr="00ED0D37">
        <w:rPr>
          <w:rFonts w:ascii="Times New Roman" w:hAnsi="Times New Roman" w:cs="Times New Roman"/>
          <w:i/>
          <w:sz w:val="24"/>
          <w:szCs w:val="24"/>
        </w:rPr>
        <w:t xml:space="preserve"> &amp; </w:t>
      </w:r>
      <w:r w:rsidR="004E4DB9" w:rsidRPr="00ED0D37">
        <w:rPr>
          <w:rFonts w:ascii="Times New Roman" w:hAnsi="Times New Roman" w:cs="Times New Roman"/>
          <w:i/>
          <w:sz w:val="24"/>
          <w:szCs w:val="24"/>
        </w:rPr>
        <w:t>Company</w:t>
      </w:r>
      <w:r w:rsidRPr="00ED0D37">
        <w:rPr>
          <w:rFonts w:ascii="Times New Roman" w:hAnsi="Times New Roman" w:cs="Times New Roman"/>
          <w:sz w:val="24"/>
          <w:szCs w:val="24"/>
        </w:rPr>
        <w:t>, plaintiff’s legal practitioners</w:t>
      </w:r>
    </w:p>
    <w:p w:rsidR="00D611EB" w:rsidRDefault="004E4DB9" w:rsidP="00ED0D37">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i/>
          <w:sz w:val="24"/>
          <w:szCs w:val="24"/>
        </w:rPr>
        <w:t xml:space="preserve">Civil Division of the Attorney General’s </w:t>
      </w:r>
      <w:r w:rsidR="00E22C0D">
        <w:rPr>
          <w:rFonts w:ascii="Times New Roman" w:hAnsi="Times New Roman" w:cs="Times New Roman"/>
          <w:i/>
          <w:sz w:val="24"/>
          <w:szCs w:val="24"/>
        </w:rPr>
        <w:t>Office</w:t>
      </w:r>
      <w:r w:rsidR="00D611EB" w:rsidRPr="00D611EB">
        <w:rPr>
          <w:rFonts w:ascii="Times New Roman" w:hAnsi="Times New Roman" w:cs="Times New Roman"/>
          <w:sz w:val="24"/>
          <w:szCs w:val="24"/>
        </w:rPr>
        <w:t xml:space="preserve">, </w:t>
      </w:r>
      <w:r w:rsidR="00DB2BAC">
        <w:rPr>
          <w:rFonts w:ascii="Times New Roman" w:hAnsi="Times New Roman" w:cs="Times New Roman"/>
          <w:sz w:val="24"/>
          <w:szCs w:val="24"/>
        </w:rPr>
        <w:t>1</w:t>
      </w:r>
      <w:r w:rsidR="00DB2BAC" w:rsidRPr="00DB2BAC">
        <w:rPr>
          <w:rFonts w:ascii="Times New Roman" w:hAnsi="Times New Roman" w:cs="Times New Roman"/>
          <w:sz w:val="24"/>
          <w:szCs w:val="24"/>
          <w:vertAlign w:val="superscript"/>
        </w:rPr>
        <w:t>st</w:t>
      </w:r>
      <w:r w:rsidR="00DB2BAC">
        <w:rPr>
          <w:rFonts w:ascii="Times New Roman" w:hAnsi="Times New Roman" w:cs="Times New Roman"/>
          <w:sz w:val="24"/>
          <w:szCs w:val="24"/>
        </w:rPr>
        <w:t xml:space="preserve"> and 2</w:t>
      </w:r>
      <w:r w:rsidR="00DB2BAC" w:rsidRPr="00DB2BAC">
        <w:rPr>
          <w:rFonts w:ascii="Times New Roman" w:hAnsi="Times New Roman" w:cs="Times New Roman"/>
          <w:sz w:val="24"/>
          <w:szCs w:val="24"/>
          <w:vertAlign w:val="superscript"/>
        </w:rPr>
        <w:t>nd</w:t>
      </w:r>
      <w:r w:rsidR="00DB2BAC">
        <w:rPr>
          <w:rFonts w:ascii="Times New Roman" w:hAnsi="Times New Roman" w:cs="Times New Roman"/>
          <w:sz w:val="24"/>
          <w:szCs w:val="24"/>
        </w:rPr>
        <w:t xml:space="preserve"> </w:t>
      </w:r>
      <w:r w:rsidR="00D611EB" w:rsidRPr="00D611EB">
        <w:rPr>
          <w:rFonts w:ascii="Times New Roman" w:hAnsi="Times New Roman" w:cs="Times New Roman"/>
          <w:sz w:val="24"/>
          <w:szCs w:val="24"/>
        </w:rPr>
        <w:t>defendant’s legal practitioners</w:t>
      </w:r>
    </w:p>
    <w:p w:rsidR="00DB2BAC" w:rsidRPr="00D611EB" w:rsidRDefault="00DB2BAC" w:rsidP="00ED0D37">
      <w:pPr>
        <w:spacing w:after="0" w:line="240" w:lineRule="auto"/>
        <w:rPr>
          <w:rFonts w:ascii="Times New Roman" w:hAnsi="Times New Roman" w:cs="Times New Roman"/>
          <w:sz w:val="24"/>
          <w:szCs w:val="24"/>
        </w:rPr>
      </w:pPr>
    </w:p>
    <w:sectPr w:rsidR="00DB2BAC" w:rsidRPr="00D611EB">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81" w:rsidRDefault="00716D81" w:rsidP="00A5344D">
      <w:pPr>
        <w:spacing w:after="0" w:line="240" w:lineRule="auto"/>
      </w:pPr>
      <w:r>
        <w:separator/>
      </w:r>
    </w:p>
  </w:endnote>
  <w:endnote w:type="continuationSeparator" w:id="0">
    <w:p w:rsidR="00716D81" w:rsidRDefault="00716D81" w:rsidP="00A5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81" w:rsidRDefault="00716D81" w:rsidP="00A5344D">
      <w:pPr>
        <w:spacing w:after="0" w:line="240" w:lineRule="auto"/>
      </w:pPr>
      <w:r>
        <w:separator/>
      </w:r>
    </w:p>
  </w:footnote>
  <w:footnote w:type="continuationSeparator" w:id="0">
    <w:p w:rsidR="00716D81" w:rsidRDefault="00716D81" w:rsidP="00A53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60785"/>
      <w:docPartObj>
        <w:docPartGallery w:val="Page Numbers (Top of Page)"/>
        <w:docPartUnique/>
      </w:docPartObj>
    </w:sdtPr>
    <w:sdtEndPr>
      <w:rPr>
        <w:noProof/>
      </w:rPr>
    </w:sdtEndPr>
    <w:sdtContent>
      <w:p w:rsidR="00A5344D" w:rsidRDefault="00A5344D">
        <w:pPr>
          <w:pStyle w:val="Header"/>
          <w:jc w:val="right"/>
          <w:rPr>
            <w:noProof/>
          </w:rPr>
        </w:pPr>
        <w:r>
          <w:fldChar w:fldCharType="begin"/>
        </w:r>
        <w:r>
          <w:instrText xml:space="preserve"> PAGE   \* MERGEFORMAT </w:instrText>
        </w:r>
        <w:r>
          <w:fldChar w:fldCharType="separate"/>
        </w:r>
        <w:r w:rsidR="00F067BE">
          <w:rPr>
            <w:noProof/>
          </w:rPr>
          <w:t>1</w:t>
        </w:r>
        <w:r>
          <w:rPr>
            <w:noProof/>
          </w:rPr>
          <w:fldChar w:fldCharType="end"/>
        </w:r>
      </w:p>
      <w:p w:rsidR="00A5344D" w:rsidRDefault="00A5344D">
        <w:pPr>
          <w:pStyle w:val="Header"/>
          <w:jc w:val="right"/>
          <w:rPr>
            <w:noProof/>
          </w:rPr>
        </w:pPr>
        <w:r>
          <w:rPr>
            <w:noProof/>
          </w:rPr>
          <w:t>HH</w:t>
        </w:r>
        <w:r w:rsidR="00154801">
          <w:rPr>
            <w:noProof/>
          </w:rPr>
          <w:t xml:space="preserve"> </w:t>
        </w:r>
        <w:r w:rsidR="004E10EC">
          <w:rPr>
            <w:noProof/>
          </w:rPr>
          <w:t>119-16</w:t>
        </w:r>
      </w:p>
      <w:p w:rsidR="00A5344D" w:rsidRDefault="00A5344D">
        <w:pPr>
          <w:pStyle w:val="Header"/>
          <w:jc w:val="right"/>
        </w:pPr>
        <w:r>
          <w:rPr>
            <w:noProof/>
          </w:rPr>
          <w:t>HC</w:t>
        </w:r>
        <w:r w:rsidR="008419C4">
          <w:rPr>
            <w:noProof/>
          </w:rPr>
          <w:t xml:space="preserve"> </w:t>
        </w:r>
        <w:r w:rsidR="0009252A">
          <w:rPr>
            <w:noProof/>
          </w:rPr>
          <w:t>8</w:t>
        </w:r>
        <w:r w:rsidR="00E006BE">
          <w:rPr>
            <w:noProof/>
          </w:rPr>
          <w:t>754/14</w:t>
        </w:r>
      </w:p>
    </w:sdtContent>
  </w:sdt>
  <w:p w:rsidR="00A5344D" w:rsidRDefault="00A53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D4B"/>
    <w:multiLevelType w:val="hybridMultilevel"/>
    <w:tmpl w:val="E7C87462"/>
    <w:lvl w:ilvl="0" w:tplc="CE24EC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8605631"/>
    <w:multiLevelType w:val="hybridMultilevel"/>
    <w:tmpl w:val="1D98CE3C"/>
    <w:lvl w:ilvl="0" w:tplc="9DAEB04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21903766"/>
    <w:multiLevelType w:val="hybridMultilevel"/>
    <w:tmpl w:val="3112EABC"/>
    <w:lvl w:ilvl="0" w:tplc="78720F4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40897960"/>
    <w:multiLevelType w:val="hybridMultilevel"/>
    <w:tmpl w:val="4ACE187A"/>
    <w:lvl w:ilvl="0" w:tplc="C198552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nsid w:val="50161594"/>
    <w:multiLevelType w:val="hybridMultilevel"/>
    <w:tmpl w:val="D74AE080"/>
    <w:lvl w:ilvl="0" w:tplc="E2D0E4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51BA07D0"/>
    <w:multiLevelType w:val="hybridMultilevel"/>
    <w:tmpl w:val="D3528222"/>
    <w:lvl w:ilvl="0" w:tplc="FF10C9B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56901B64"/>
    <w:multiLevelType w:val="hybridMultilevel"/>
    <w:tmpl w:val="481E071A"/>
    <w:lvl w:ilvl="0" w:tplc="35DA5FB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5A47222D"/>
    <w:multiLevelType w:val="hybridMultilevel"/>
    <w:tmpl w:val="994A4C02"/>
    <w:lvl w:ilvl="0" w:tplc="30090019">
      <w:start w:val="1"/>
      <w:numFmt w:val="lowerLetter"/>
      <w:lvlText w:val="%1."/>
      <w:lvlJc w:val="left"/>
      <w:pPr>
        <w:ind w:left="360" w:hanging="360"/>
      </w:p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8">
    <w:nsid w:val="725C0F54"/>
    <w:multiLevelType w:val="hybridMultilevel"/>
    <w:tmpl w:val="E0862F0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72E47327"/>
    <w:multiLevelType w:val="hybridMultilevel"/>
    <w:tmpl w:val="B14AE724"/>
    <w:lvl w:ilvl="0" w:tplc="1A22D9D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75D651DD"/>
    <w:multiLevelType w:val="hybridMultilevel"/>
    <w:tmpl w:val="2ABCD0DE"/>
    <w:lvl w:ilvl="0" w:tplc="0409000F">
      <w:start w:val="1"/>
      <w:numFmt w:val="decimal"/>
      <w:lvlText w:val="%1."/>
      <w:lvlJc w:val="left"/>
      <w:pPr>
        <w:ind w:left="0" w:hanging="360"/>
      </w:pPr>
      <w:rPr>
        <w:rFonts w:hint="default"/>
      </w:rPr>
    </w:lvl>
    <w:lvl w:ilvl="1" w:tplc="30090019" w:tentative="1">
      <w:start w:val="1"/>
      <w:numFmt w:val="lowerLetter"/>
      <w:lvlText w:val="%2."/>
      <w:lvlJc w:val="left"/>
      <w:pPr>
        <w:ind w:left="720" w:hanging="360"/>
      </w:pPr>
    </w:lvl>
    <w:lvl w:ilvl="2" w:tplc="3009001B" w:tentative="1">
      <w:start w:val="1"/>
      <w:numFmt w:val="lowerRoman"/>
      <w:lvlText w:val="%3."/>
      <w:lvlJc w:val="right"/>
      <w:pPr>
        <w:ind w:left="1440" w:hanging="180"/>
      </w:pPr>
    </w:lvl>
    <w:lvl w:ilvl="3" w:tplc="3009000F" w:tentative="1">
      <w:start w:val="1"/>
      <w:numFmt w:val="decimal"/>
      <w:lvlText w:val="%4."/>
      <w:lvlJc w:val="left"/>
      <w:pPr>
        <w:ind w:left="2160" w:hanging="360"/>
      </w:pPr>
    </w:lvl>
    <w:lvl w:ilvl="4" w:tplc="30090019" w:tentative="1">
      <w:start w:val="1"/>
      <w:numFmt w:val="lowerLetter"/>
      <w:lvlText w:val="%5."/>
      <w:lvlJc w:val="left"/>
      <w:pPr>
        <w:ind w:left="2880" w:hanging="360"/>
      </w:pPr>
    </w:lvl>
    <w:lvl w:ilvl="5" w:tplc="3009001B" w:tentative="1">
      <w:start w:val="1"/>
      <w:numFmt w:val="lowerRoman"/>
      <w:lvlText w:val="%6."/>
      <w:lvlJc w:val="right"/>
      <w:pPr>
        <w:ind w:left="3600" w:hanging="180"/>
      </w:pPr>
    </w:lvl>
    <w:lvl w:ilvl="6" w:tplc="3009000F" w:tentative="1">
      <w:start w:val="1"/>
      <w:numFmt w:val="decimal"/>
      <w:lvlText w:val="%7."/>
      <w:lvlJc w:val="left"/>
      <w:pPr>
        <w:ind w:left="4320" w:hanging="360"/>
      </w:pPr>
    </w:lvl>
    <w:lvl w:ilvl="7" w:tplc="30090019" w:tentative="1">
      <w:start w:val="1"/>
      <w:numFmt w:val="lowerLetter"/>
      <w:lvlText w:val="%8."/>
      <w:lvlJc w:val="left"/>
      <w:pPr>
        <w:ind w:left="5040" w:hanging="360"/>
      </w:pPr>
    </w:lvl>
    <w:lvl w:ilvl="8" w:tplc="3009001B" w:tentative="1">
      <w:start w:val="1"/>
      <w:numFmt w:val="lowerRoman"/>
      <w:lvlText w:val="%9."/>
      <w:lvlJc w:val="right"/>
      <w:pPr>
        <w:ind w:left="5760" w:hanging="180"/>
      </w:pPr>
    </w:lvl>
  </w:abstractNum>
  <w:abstractNum w:abstractNumId="11">
    <w:nsid w:val="7D2847C4"/>
    <w:multiLevelType w:val="hybridMultilevel"/>
    <w:tmpl w:val="8180AE62"/>
    <w:lvl w:ilvl="0" w:tplc="3CE0E71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7F3B4822"/>
    <w:multiLevelType w:val="hybridMultilevel"/>
    <w:tmpl w:val="06A68C98"/>
    <w:lvl w:ilvl="0" w:tplc="66FAE1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9"/>
  </w:num>
  <w:num w:numId="5">
    <w:abstractNumId w:val="11"/>
  </w:num>
  <w:num w:numId="6">
    <w:abstractNumId w:val="12"/>
  </w:num>
  <w:num w:numId="7">
    <w:abstractNumId w:val="3"/>
  </w:num>
  <w:num w:numId="8">
    <w:abstractNumId w:val="4"/>
  </w:num>
  <w:num w:numId="9">
    <w:abstractNumId w:val="8"/>
  </w:num>
  <w:num w:numId="10">
    <w:abstractNumId w:val="2"/>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BF"/>
    <w:rsid w:val="00002FFA"/>
    <w:rsid w:val="00010365"/>
    <w:rsid w:val="000147B5"/>
    <w:rsid w:val="00020429"/>
    <w:rsid w:val="00040646"/>
    <w:rsid w:val="00072CCD"/>
    <w:rsid w:val="0007369D"/>
    <w:rsid w:val="000807CC"/>
    <w:rsid w:val="00080C6C"/>
    <w:rsid w:val="00090BBF"/>
    <w:rsid w:val="0009252A"/>
    <w:rsid w:val="000C6EB5"/>
    <w:rsid w:val="00111D09"/>
    <w:rsid w:val="00121BF2"/>
    <w:rsid w:val="00137820"/>
    <w:rsid w:val="00154801"/>
    <w:rsid w:val="00165726"/>
    <w:rsid w:val="0016583E"/>
    <w:rsid w:val="001826BF"/>
    <w:rsid w:val="00191489"/>
    <w:rsid w:val="001A6379"/>
    <w:rsid w:val="001C0877"/>
    <w:rsid w:val="001D62B1"/>
    <w:rsid w:val="001E0BDC"/>
    <w:rsid w:val="001E416C"/>
    <w:rsid w:val="001F0CCD"/>
    <w:rsid w:val="001F7039"/>
    <w:rsid w:val="00202A27"/>
    <w:rsid w:val="00242E6F"/>
    <w:rsid w:val="0025507C"/>
    <w:rsid w:val="00264D5D"/>
    <w:rsid w:val="0027108F"/>
    <w:rsid w:val="00271B22"/>
    <w:rsid w:val="00273F92"/>
    <w:rsid w:val="00280201"/>
    <w:rsid w:val="00280693"/>
    <w:rsid w:val="00296BB5"/>
    <w:rsid w:val="002D4F24"/>
    <w:rsid w:val="002E670F"/>
    <w:rsid w:val="002E6CAB"/>
    <w:rsid w:val="002F6E61"/>
    <w:rsid w:val="00312E97"/>
    <w:rsid w:val="00320282"/>
    <w:rsid w:val="003264E3"/>
    <w:rsid w:val="003D621A"/>
    <w:rsid w:val="004103DD"/>
    <w:rsid w:val="00420FD3"/>
    <w:rsid w:val="0042159F"/>
    <w:rsid w:val="00434FE7"/>
    <w:rsid w:val="00435CFE"/>
    <w:rsid w:val="00446A5D"/>
    <w:rsid w:val="004475E6"/>
    <w:rsid w:val="004506D6"/>
    <w:rsid w:val="004639FA"/>
    <w:rsid w:val="00464C26"/>
    <w:rsid w:val="00465D22"/>
    <w:rsid w:val="004744BE"/>
    <w:rsid w:val="00491C24"/>
    <w:rsid w:val="004B6B5B"/>
    <w:rsid w:val="004C096B"/>
    <w:rsid w:val="004C78B7"/>
    <w:rsid w:val="004D4139"/>
    <w:rsid w:val="004E10EC"/>
    <w:rsid w:val="004E4DB9"/>
    <w:rsid w:val="004E6484"/>
    <w:rsid w:val="00506B02"/>
    <w:rsid w:val="00517772"/>
    <w:rsid w:val="0052092A"/>
    <w:rsid w:val="005213E9"/>
    <w:rsid w:val="00521501"/>
    <w:rsid w:val="00553215"/>
    <w:rsid w:val="0057413E"/>
    <w:rsid w:val="00575546"/>
    <w:rsid w:val="00582064"/>
    <w:rsid w:val="005A2C1D"/>
    <w:rsid w:val="005A54F8"/>
    <w:rsid w:val="005A6410"/>
    <w:rsid w:val="005C2848"/>
    <w:rsid w:val="005D43D8"/>
    <w:rsid w:val="005F1487"/>
    <w:rsid w:val="00607771"/>
    <w:rsid w:val="00610D6E"/>
    <w:rsid w:val="0064067B"/>
    <w:rsid w:val="006535AE"/>
    <w:rsid w:val="00672BAD"/>
    <w:rsid w:val="00676EC5"/>
    <w:rsid w:val="00690625"/>
    <w:rsid w:val="006A4037"/>
    <w:rsid w:val="006A7657"/>
    <w:rsid w:val="006B34A7"/>
    <w:rsid w:val="006B7F5C"/>
    <w:rsid w:val="006D16A4"/>
    <w:rsid w:val="006D3FCB"/>
    <w:rsid w:val="006D4A16"/>
    <w:rsid w:val="006D5A4F"/>
    <w:rsid w:val="006F1A61"/>
    <w:rsid w:val="006F67F4"/>
    <w:rsid w:val="00700560"/>
    <w:rsid w:val="007041E2"/>
    <w:rsid w:val="007154B8"/>
    <w:rsid w:val="00716D81"/>
    <w:rsid w:val="007275F2"/>
    <w:rsid w:val="00730E6C"/>
    <w:rsid w:val="00734F9A"/>
    <w:rsid w:val="00737972"/>
    <w:rsid w:val="007455BE"/>
    <w:rsid w:val="007565B8"/>
    <w:rsid w:val="00757B19"/>
    <w:rsid w:val="0076569D"/>
    <w:rsid w:val="007717B8"/>
    <w:rsid w:val="0079768E"/>
    <w:rsid w:val="007A5B74"/>
    <w:rsid w:val="007B6BCE"/>
    <w:rsid w:val="007C13E3"/>
    <w:rsid w:val="007C2219"/>
    <w:rsid w:val="00820040"/>
    <w:rsid w:val="00821FF0"/>
    <w:rsid w:val="008419C4"/>
    <w:rsid w:val="00843C2C"/>
    <w:rsid w:val="0085700B"/>
    <w:rsid w:val="0086329F"/>
    <w:rsid w:val="00864CDD"/>
    <w:rsid w:val="00895DC1"/>
    <w:rsid w:val="008B04F7"/>
    <w:rsid w:val="008C70A7"/>
    <w:rsid w:val="008D3EEB"/>
    <w:rsid w:val="008D3FEA"/>
    <w:rsid w:val="008D465B"/>
    <w:rsid w:val="008D6E2D"/>
    <w:rsid w:val="009017EE"/>
    <w:rsid w:val="0090724D"/>
    <w:rsid w:val="00936817"/>
    <w:rsid w:val="00945528"/>
    <w:rsid w:val="00983B07"/>
    <w:rsid w:val="00992BF9"/>
    <w:rsid w:val="009D5059"/>
    <w:rsid w:val="009F4214"/>
    <w:rsid w:val="00A12575"/>
    <w:rsid w:val="00A232BE"/>
    <w:rsid w:val="00A317CB"/>
    <w:rsid w:val="00A31FF1"/>
    <w:rsid w:val="00A46CB6"/>
    <w:rsid w:val="00A5344D"/>
    <w:rsid w:val="00A622E5"/>
    <w:rsid w:val="00A70DFA"/>
    <w:rsid w:val="00A834FE"/>
    <w:rsid w:val="00A91397"/>
    <w:rsid w:val="00A9321E"/>
    <w:rsid w:val="00AA31C4"/>
    <w:rsid w:val="00AC1323"/>
    <w:rsid w:val="00AF6A88"/>
    <w:rsid w:val="00AF6D50"/>
    <w:rsid w:val="00B22B35"/>
    <w:rsid w:val="00B23C6D"/>
    <w:rsid w:val="00B32207"/>
    <w:rsid w:val="00B34B87"/>
    <w:rsid w:val="00B54436"/>
    <w:rsid w:val="00B61EB9"/>
    <w:rsid w:val="00B76124"/>
    <w:rsid w:val="00B81A4D"/>
    <w:rsid w:val="00B863E0"/>
    <w:rsid w:val="00BA3998"/>
    <w:rsid w:val="00BB7763"/>
    <w:rsid w:val="00BC585D"/>
    <w:rsid w:val="00BC5EBB"/>
    <w:rsid w:val="00BF3881"/>
    <w:rsid w:val="00C0774E"/>
    <w:rsid w:val="00C37FEB"/>
    <w:rsid w:val="00C63838"/>
    <w:rsid w:val="00C90EE6"/>
    <w:rsid w:val="00CA0679"/>
    <w:rsid w:val="00CD1665"/>
    <w:rsid w:val="00D12F8B"/>
    <w:rsid w:val="00D16F37"/>
    <w:rsid w:val="00D31B39"/>
    <w:rsid w:val="00D349FF"/>
    <w:rsid w:val="00D378DE"/>
    <w:rsid w:val="00D571E6"/>
    <w:rsid w:val="00D611EB"/>
    <w:rsid w:val="00D828DE"/>
    <w:rsid w:val="00D84833"/>
    <w:rsid w:val="00D86C1A"/>
    <w:rsid w:val="00D92BF7"/>
    <w:rsid w:val="00D96EF2"/>
    <w:rsid w:val="00D974D6"/>
    <w:rsid w:val="00DB273A"/>
    <w:rsid w:val="00DB2BAC"/>
    <w:rsid w:val="00DD7DFB"/>
    <w:rsid w:val="00DF4BCB"/>
    <w:rsid w:val="00E006BE"/>
    <w:rsid w:val="00E10AB9"/>
    <w:rsid w:val="00E22C0D"/>
    <w:rsid w:val="00E26C0D"/>
    <w:rsid w:val="00E36BE2"/>
    <w:rsid w:val="00E5163E"/>
    <w:rsid w:val="00E81695"/>
    <w:rsid w:val="00E84111"/>
    <w:rsid w:val="00E9528F"/>
    <w:rsid w:val="00EB57EA"/>
    <w:rsid w:val="00EC32D5"/>
    <w:rsid w:val="00EC55F2"/>
    <w:rsid w:val="00EC7869"/>
    <w:rsid w:val="00ED0D37"/>
    <w:rsid w:val="00ED28E9"/>
    <w:rsid w:val="00EE7B2C"/>
    <w:rsid w:val="00EF34A5"/>
    <w:rsid w:val="00EF3939"/>
    <w:rsid w:val="00EF781A"/>
    <w:rsid w:val="00F067BE"/>
    <w:rsid w:val="00F147D1"/>
    <w:rsid w:val="00F43BE0"/>
    <w:rsid w:val="00F464A9"/>
    <w:rsid w:val="00F85761"/>
    <w:rsid w:val="00F97BB4"/>
    <w:rsid w:val="00FC778F"/>
    <w:rsid w:val="00FD342C"/>
    <w:rsid w:val="00FE06D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87E2-C393-4D06-9707-BDA8D30B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2016-02-12T06:14:00Z</cp:lastPrinted>
  <dcterms:created xsi:type="dcterms:W3CDTF">2016-02-22T06:54:00Z</dcterms:created>
  <dcterms:modified xsi:type="dcterms:W3CDTF">2016-02-22T06:54:00Z</dcterms:modified>
</cp:coreProperties>
</file>