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00"/>
      </w:pPr>
      <w:r>
        <w:rPr/>
        <w:t>JOSEPH</w:t>
      </w:r>
      <w:r>
        <w:rPr>
          <w:spacing w:val="-4"/>
        </w:rPr>
        <w:t> </w:t>
      </w:r>
      <w:r>
        <w:rPr/>
        <w:t>SIFARA</w:t>
      </w:r>
    </w:p>
    <w:p>
      <w:pPr>
        <w:pStyle w:val="BodyText"/>
        <w:ind w:left="100"/>
      </w:pPr>
      <w:r>
        <w:rPr/>
        <w:t>Versus</w:t>
      </w:r>
    </w:p>
    <w:p>
      <w:pPr>
        <w:pStyle w:val="BodyText"/>
        <w:ind w:left="100"/>
      </w:pPr>
      <w:r>
        <w:rPr/>
        <w:t>DEVIANT</w:t>
      </w:r>
      <w:r>
        <w:rPr>
          <w:spacing w:val="-1"/>
        </w:rPr>
        <w:t> </w:t>
      </w:r>
      <w:r>
        <w:rPr/>
        <w:t>JEMWA</w:t>
      </w:r>
    </w:p>
    <w:p>
      <w:pPr>
        <w:pStyle w:val="BodyText"/>
        <w:ind w:left="100"/>
      </w:pPr>
      <w:r>
        <w:rPr/>
        <w:t>And</w:t>
      </w:r>
    </w:p>
    <w:p>
      <w:pPr>
        <w:pStyle w:val="BodyText"/>
        <w:ind w:left="100" w:right="3210"/>
      </w:pPr>
      <w:r>
        <w:rPr/>
        <w:t>THE MINISTER OF LANDS, WATER, AGRICULTURE &amp;</w:t>
      </w:r>
      <w:r>
        <w:rPr>
          <w:spacing w:val="-57"/>
        </w:rPr>
        <w:t> </w:t>
      </w:r>
      <w:r>
        <w:rPr/>
        <w:t>FISHERIES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RURAL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N.O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 w:right="5939"/>
      </w:pPr>
      <w:r>
        <w:rPr/>
        <w:t>HIGH COURT OF ZIMBABWE</w:t>
      </w:r>
      <w:r>
        <w:rPr>
          <w:spacing w:val="-57"/>
        </w:rPr>
        <w:t> </w:t>
      </w:r>
      <w:r>
        <w:rPr/>
        <w:t>BACHI-MZAWAZI</w:t>
      </w:r>
      <w:r>
        <w:rPr>
          <w:spacing w:val="-3"/>
        </w:rPr>
        <w:t> </w:t>
      </w:r>
      <w:r>
        <w:rPr/>
        <w:t>J</w:t>
      </w:r>
    </w:p>
    <w:p>
      <w:pPr>
        <w:pStyle w:val="BodyText"/>
        <w:spacing w:before="1"/>
        <w:ind w:left="100"/>
      </w:pPr>
      <w:r>
        <w:rPr/>
        <w:t>CHINHOYI,</w:t>
      </w:r>
      <w:r>
        <w:rPr>
          <w:spacing w:val="-2"/>
        </w:rPr>
        <w:t> </w:t>
      </w:r>
      <w:r>
        <w:rPr/>
        <w:t>27 February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March</w:t>
      </w:r>
      <w:r>
        <w:rPr>
          <w:spacing w:val="-2"/>
        </w:rPr>
        <w:t> </w:t>
      </w:r>
      <w:r>
        <w:rPr/>
        <w:t>2024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Title"/>
      </w:pPr>
      <w:r>
        <w:rPr/>
        <w:t>Opposed</w:t>
      </w:r>
      <w:r>
        <w:rPr>
          <w:spacing w:val="-2"/>
        </w:rPr>
        <w:t> </w:t>
      </w:r>
      <w:r>
        <w:rPr/>
        <w:t>Application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W.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Bherebhende,</w:t>
      </w:r>
      <w:r>
        <w:rPr>
          <w:i/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Applicant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H.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Chitima</w:t>
      </w:r>
      <w:r>
        <w:rPr>
          <w:sz w:val="24"/>
        </w:rPr>
        <w:t>, for</w:t>
      </w:r>
      <w:r>
        <w:rPr>
          <w:spacing w:val="-2"/>
          <w:sz w:val="24"/>
        </w:rPr>
        <w:t> </w:t>
      </w:r>
      <w:r>
        <w:rPr>
          <w:sz w:val="24"/>
        </w:rPr>
        <w:t>the 1</w:t>
      </w:r>
      <w:r>
        <w:rPr>
          <w:sz w:val="24"/>
          <w:vertAlign w:val="superscript"/>
        </w:rPr>
        <w:t>st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Respondent</w:t>
      </w:r>
    </w:p>
    <w:p>
      <w:pPr>
        <w:pStyle w:val="BodyText"/>
        <w:ind w:left="100"/>
      </w:pPr>
      <w:r>
        <w:rPr/>
        <w:t>No</w:t>
      </w:r>
      <w:r>
        <w:rPr>
          <w:spacing w:val="-1"/>
        </w:rPr>
        <w:t> </w:t>
      </w:r>
      <w:r>
        <w:rPr/>
        <w:t>appearance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Respondent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0" w:lineRule="auto" w:before="1"/>
        <w:ind w:left="100" w:right="115" w:firstLine="719"/>
        <w:jc w:val="both"/>
      </w:pPr>
      <w:r>
        <w:rPr>
          <w:b/>
        </w:rPr>
        <w:t>BACHI-MZAWAZI</w:t>
      </w:r>
      <w:r>
        <w:rPr>
          <w:b/>
          <w:spacing w:val="1"/>
        </w:rPr>
        <w:t> </w:t>
      </w:r>
      <w:r>
        <w:rPr>
          <w:b/>
        </w:rPr>
        <w:t>J</w:t>
      </w:r>
      <w:r>
        <w:rPr/>
        <w:t>: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6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November</w:t>
      </w:r>
      <w:r>
        <w:rPr>
          <w:spacing w:val="1"/>
          <w:vertAlign w:val="baseline"/>
        </w:rPr>
        <w:t> </w:t>
      </w:r>
      <w:r>
        <w:rPr>
          <w:vertAlign w:val="baseline"/>
        </w:rPr>
        <w:t>2023</w:t>
      </w:r>
      <w:r>
        <w:rPr>
          <w:spacing w:val="1"/>
          <w:vertAlign w:val="baseline"/>
        </w:rPr>
        <w:t> </w:t>
      </w:r>
      <w:r>
        <w:rPr>
          <w:vertAlign w:val="baseline"/>
        </w:rPr>
        <w:t>applicant</w:t>
      </w:r>
      <w:r>
        <w:rPr>
          <w:spacing w:val="1"/>
          <w:vertAlign w:val="baseline"/>
        </w:rPr>
        <w:t> </w:t>
      </w:r>
      <w:r>
        <w:rPr>
          <w:vertAlign w:val="baseline"/>
        </w:rPr>
        <w:t>excepted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st</w:t>
      </w:r>
      <w:r>
        <w:rPr>
          <w:spacing w:val="-57"/>
          <w:vertAlign w:val="baseline"/>
        </w:rPr>
        <w:t> </w:t>
      </w:r>
      <w:r>
        <w:rPr>
          <w:vertAlign w:val="baseline"/>
        </w:rPr>
        <w:t>respondent‟s summons which had been filed on the 12</w:t>
      </w:r>
      <w:r>
        <w:rPr>
          <w:vertAlign w:val="superscript"/>
        </w:rPr>
        <w:t>th</w:t>
      </w:r>
      <w:r>
        <w:rPr>
          <w:vertAlign w:val="baseline"/>
        </w:rPr>
        <w:t> of October 2023 and issued out on</w:t>
      </w:r>
      <w:r>
        <w:rPr>
          <w:spacing w:val="1"/>
          <w:vertAlign w:val="baseline"/>
        </w:rPr>
        <w:t> </w:t>
      </w:r>
      <w:r>
        <w:rPr>
          <w:vertAlign w:val="baseline"/>
        </w:rPr>
        <w:t>the 13</w:t>
      </w:r>
      <w:r>
        <w:rPr>
          <w:vertAlign w:val="superscript"/>
        </w:rPr>
        <w:t>th</w:t>
      </w:r>
      <w:r>
        <w:rPr>
          <w:vertAlign w:val="baseline"/>
        </w:rPr>
        <w:t> of October 2023. The exception was premised on the grounds that,</w:t>
      </w:r>
      <w:r>
        <w:rPr>
          <w:spacing w:val="60"/>
          <w:vertAlign w:val="baseline"/>
        </w:rPr>
        <w:t> </w:t>
      </w:r>
      <w:r>
        <w:rPr>
          <w:vertAlign w:val="baseline"/>
        </w:rPr>
        <w:t>the summons</w:t>
      </w:r>
      <w:r>
        <w:rPr>
          <w:spacing w:val="1"/>
          <w:vertAlign w:val="baseline"/>
        </w:rPr>
        <w:t> </w:t>
      </w:r>
      <w:r>
        <w:rPr>
          <w:vertAlign w:val="baseline"/>
        </w:rPr>
        <w:t>were fatally defective, as they did not comply with rule 12 (5) (d) of the High Court Rules</w:t>
      </w:r>
      <w:r>
        <w:rPr>
          <w:spacing w:val="1"/>
          <w:vertAlign w:val="baseline"/>
        </w:rPr>
        <w:t> </w:t>
      </w:r>
      <w:r>
        <w:rPr>
          <w:vertAlign w:val="baseline"/>
        </w:rPr>
        <w:t>2021. In that respect, they did not contain a true and concise statement of the nature and</w:t>
      </w:r>
      <w:r>
        <w:rPr>
          <w:spacing w:val="1"/>
          <w:vertAlign w:val="baseline"/>
        </w:rPr>
        <w:t> </w:t>
      </w:r>
      <w:r>
        <w:rPr>
          <w:vertAlign w:val="baseline"/>
        </w:rPr>
        <w:t>grounds of the cause of action.</w:t>
      </w:r>
      <w:r>
        <w:rPr>
          <w:spacing w:val="1"/>
          <w:vertAlign w:val="baseline"/>
        </w:rPr>
        <w:t> </w:t>
      </w:r>
      <w:r>
        <w:rPr>
          <w:vertAlign w:val="baseline"/>
        </w:rPr>
        <w:t>As a precursor, to the exception, the applicant had written a</w:t>
      </w:r>
      <w:r>
        <w:rPr>
          <w:spacing w:val="1"/>
          <w:vertAlign w:val="baseline"/>
        </w:rPr>
        <w:t> </w:t>
      </w:r>
      <w:r>
        <w:rPr>
          <w:vertAlign w:val="baseline"/>
        </w:rPr>
        <w:t>letter dated the 1</w:t>
      </w:r>
      <w:r>
        <w:rPr>
          <w:vertAlign w:val="superscript"/>
        </w:rPr>
        <w:t>st</w:t>
      </w:r>
      <w:r>
        <w:rPr>
          <w:vertAlign w:val="baseline"/>
        </w:rPr>
        <w:t> of November 2023, the same day they filed their appearance to defend</w:t>
      </w:r>
      <w:r>
        <w:rPr>
          <w:spacing w:val="1"/>
          <w:vertAlign w:val="baseline"/>
        </w:rPr>
        <w:t> </w:t>
      </w:r>
      <w:r>
        <w:rPr>
          <w:vertAlign w:val="baseline"/>
        </w:rPr>
        <w:t>drawing the 1</w:t>
      </w:r>
      <w:r>
        <w:rPr>
          <w:vertAlign w:val="superscript"/>
        </w:rPr>
        <w:t>st</w:t>
      </w:r>
      <w:r>
        <w:rPr>
          <w:vertAlign w:val="baseline"/>
        </w:rPr>
        <w:t> respondent‟s attention to the alleged defect. This letter was written in terms of</w:t>
      </w:r>
      <w:r>
        <w:rPr>
          <w:spacing w:val="-57"/>
          <w:vertAlign w:val="baseline"/>
        </w:rPr>
        <w:t> </w:t>
      </w:r>
      <w:r>
        <w:rPr>
          <w:vertAlign w:val="baseline"/>
        </w:rPr>
        <w:t>rule</w:t>
      </w:r>
      <w:r>
        <w:rPr>
          <w:spacing w:val="-2"/>
          <w:vertAlign w:val="baseline"/>
        </w:rPr>
        <w:t> </w:t>
      </w:r>
      <w:r>
        <w:rPr>
          <w:vertAlign w:val="baseline"/>
        </w:rPr>
        <w:t>42</w:t>
      </w:r>
      <w:r>
        <w:rPr>
          <w:spacing w:val="-1"/>
          <w:vertAlign w:val="baseline"/>
        </w:rPr>
        <w:t> </w:t>
      </w:r>
      <w:r>
        <w:rPr>
          <w:vertAlign w:val="baseline"/>
        </w:rPr>
        <w:t>(3)</w:t>
      </w:r>
      <w:r>
        <w:rPr>
          <w:spacing w:val="-2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1"/>
          <w:vertAlign w:val="baseline"/>
        </w:rPr>
        <w:t> </w:t>
      </w:r>
      <w:r>
        <w:rPr>
          <w:vertAlign w:val="baseline"/>
        </w:rPr>
        <w:t>High Court</w:t>
      </w:r>
      <w:r>
        <w:rPr>
          <w:spacing w:val="1"/>
          <w:vertAlign w:val="baseline"/>
        </w:rPr>
        <w:t> </w:t>
      </w:r>
      <w:r>
        <w:rPr>
          <w:vertAlign w:val="baseline"/>
        </w:rPr>
        <w:t>Rules.</w:t>
      </w:r>
    </w:p>
    <w:p>
      <w:pPr>
        <w:pStyle w:val="BodyText"/>
        <w:spacing w:before="160"/>
        <w:ind w:left="820"/>
        <w:jc w:val="both"/>
      </w:pPr>
      <w:r>
        <w:rPr/>
        <w:t>The</w:t>
      </w:r>
      <w:r>
        <w:rPr>
          <w:spacing w:val="-3"/>
        </w:rPr>
        <w:t> </w:t>
      </w:r>
      <w:r>
        <w:rPr/>
        <w:t>above-mentioned, letter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6</w:t>
      </w:r>
      <w:r>
        <w:rPr>
          <w:vertAlign w:val="superscript"/>
        </w:rPr>
        <w:t>th</w:t>
      </w:r>
      <w:r>
        <w:rPr>
          <w:vertAlign w:val="baseline"/>
        </w:rPr>
        <w:t> of</w:t>
      </w:r>
      <w:r>
        <w:rPr>
          <w:spacing w:val="-1"/>
          <w:vertAlign w:val="baseline"/>
        </w:rPr>
        <w:t> </w:t>
      </w:r>
      <w:r>
        <w:rPr>
          <w:vertAlign w:val="baseline"/>
        </w:rPr>
        <w:t>November</w:t>
      </w:r>
      <w:r>
        <w:rPr>
          <w:spacing w:val="-2"/>
          <w:vertAlign w:val="baseline"/>
        </w:rPr>
        <w:t> </w:t>
      </w:r>
      <w:r>
        <w:rPr>
          <w:vertAlign w:val="baseline"/>
        </w:rPr>
        <w:t>2023,</w:t>
      </w:r>
      <w:r>
        <w:rPr>
          <w:spacing w:val="-1"/>
          <w:vertAlign w:val="baseline"/>
        </w:rPr>
        <w:t> </w:t>
      </w:r>
      <w:r>
        <w:rPr>
          <w:vertAlign w:val="baseline"/>
        </w:rPr>
        <w:t>reads: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820" w:right="117"/>
        <w:jc w:val="both"/>
      </w:pPr>
      <w:r>
        <w:rPr/>
        <w:t>“We write to inform you that your summons is fatally defective for non-compliance</w:t>
      </w:r>
      <w:r>
        <w:rPr>
          <w:spacing w:val="1"/>
        </w:rPr>
        <w:t> </w:t>
      </w:r>
      <w:r>
        <w:rPr/>
        <w:t>with</w:t>
      </w:r>
      <w:r>
        <w:rPr>
          <w:spacing w:val="49"/>
        </w:rPr>
        <w:t> </w:t>
      </w:r>
      <w:r>
        <w:rPr/>
        <w:t>Rule</w:t>
      </w:r>
      <w:r>
        <w:rPr>
          <w:spacing w:val="49"/>
        </w:rPr>
        <w:t> </w:t>
      </w:r>
      <w:r>
        <w:rPr/>
        <w:t>12</w:t>
      </w:r>
      <w:r>
        <w:rPr>
          <w:spacing w:val="49"/>
        </w:rPr>
        <w:t> </w:t>
      </w:r>
      <w:r>
        <w:rPr/>
        <w:t>(5)</w:t>
      </w:r>
      <w:r>
        <w:rPr>
          <w:spacing w:val="48"/>
        </w:rPr>
        <w:t> </w:t>
      </w:r>
      <w:r>
        <w:rPr/>
        <w:t>(d)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High</w:t>
      </w:r>
      <w:r>
        <w:rPr>
          <w:spacing w:val="50"/>
        </w:rPr>
        <w:t> </w:t>
      </w:r>
      <w:r>
        <w:rPr/>
        <w:t>Court</w:t>
      </w:r>
      <w:r>
        <w:rPr>
          <w:spacing w:val="48"/>
        </w:rPr>
        <w:t> </w:t>
      </w:r>
      <w:r>
        <w:rPr/>
        <w:t>Rules</w:t>
      </w:r>
      <w:r>
        <w:rPr>
          <w:spacing w:val="47"/>
        </w:rPr>
        <w:t> </w:t>
      </w:r>
      <w:r>
        <w:rPr/>
        <w:t>S.I.</w:t>
      </w:r>
      <w:r>
        <w:rPr>
          <w:spacing w:val="49"/>
        </w:rPr>
        <w:t> </w:t>
      </w:r>
      <w:r>
        <w:rPr/>
        <w:t>202/2021,</w:t>
      </w:r>
      <w:r>
        <w:rPr>
          <w:spacing w:val="50"/>
        </w:rPr>
        <w:t> </w:t>
      </w:r>
      <w:r>
        <w:rPr/>
        <w:t>in</w:t>
      </w:r>
      <w:r>
        <w:rPr>
          <w:spacing w:val="49"/>
        </w:rPr>
        <w:t> </w:t>
      </w:r>
      <w:r>
        <w:rPr/>
        <w:t>that</w:t>
      </w:r>
      <w:r>
        <w:rPr>
          <w:spacing w:val="50"/>
        </w:rPr>
        <w:t> </w:t>
      </w:r>
      <w:r>
        <w:rPr/>
        <w:t>they</w:t>
      </w:r>
      <w:r>
        <w:rPr>
          <w:spacing w:val="44"/>
        </w:rPr>
        <w:t> </w:t>
      </w:r>
      <w:r>
        <w:rPr/>
        <w:t>do</w:t>
      </w:r>
      <w:r>
        <w:rPr>
          <w:spacing w:val="50"/>
        </w:rPr>
        <w:t> </w:t>
      </w:r>
      <w:r>
        <w:rPr/>
        <w:t>not</w:t>
      </w:r>
      <w:r>
        <w:rPr>
          <w:spacing w:val="-58"/>
        </w:rPr>
        <w:t> </w:t>
      </w:r>
      <w:r>
        <w:rPr/>
        <w:t>disclose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 of action, thus not properly</w:t>
      </w:r>
      <w:r>
        <w:rPr>
          <w:spacing w:val="-5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 court….”</w:t>
      </w:r>
    </w:p>
    <w:p>
      <w:pPr>
        <w:pStyle w:val="BodyText"/>
        <w:spacing w:line="360" w:lineRule="auto" w:before="163"/>
        <w:ind w:left="100" w:right="114" w:firstLine="719"/>
        <w:jc w:val="both"/>
      </w:pPr>
      <w:r>
        <w:rPr/>
        <w:t>In response, the 1</w:t>
      </w:r>
      <w:r>
        <w:rPr>
          <w:vertAlign w:val="superscript"/>
        </w:rPr>
        <w:t>st</w:t>
      </w:r>
      <w:r>
        <w:rPr>
          <w:vertAlign w:val="baseline"/>
        </w:rPr>
        <w:t> respondent pointed out that the exception was bad at law for</w:t>
      </w:r>
      <w:r>
        <w:rPr>
          <w:spacing w:val="1"/>
          <w:vertAlign w:val="baseline"/>
        </w:rPr>
        <w:t> </w:t>
      </w:r>
      <w:r>
        <w:rPr>
          <w:vertAlign w:val="baseline"/>
        </w:rPr>
        <w:t>several reasons. The first was that, the applicant flouted Rule 42 (3) by filing an exception</w:t>
      </w:r>
      <w:r>
        <w:rPr>
          <w:spacing w:val="1"/>
          <w:vertAlign w:val="baseline"/>
        </w:rPr>
        <w:t> </w:t>
      </w:r>
      <w:r>
        <w:rPr>
          <w:vertAlign w:val="baseline"/>
        </w:rPr>
        <w:t>proceeding</w:t>
      </w:r>
      <w:r>
        <w:rPr>
          <w:spacing w:val="1"/>
          <w:vertAlign w:val="baseline"/>
        </w:rPr>
        <w:t> </w:t>
      </w:r>
      <w:r>
        <w:rPr>
          <w:vertAlign w:val="baseline"/>
        </w:rPr>
        <w:t>before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exhaustion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twelve</w:t>
      </w:r>
      <w:r>
        <w:rPr>
          <w:spacing w:val="1"/>
          <w:vertAlign w:val="baseline"/>
        </w:rPr>
        <w:t> </w:t>
      </w:r>
      <w:r>
        <w:rPr>
          <w:vertAlign w:val="baseline"/>
        </w:rPr>
        <w:t>days</w:t>
      </w:r>
      <w:r>
        <w:rPr>
          <w:spacing w:val="1"/>
          <w:vertAlign w:val="baseline"/>
        </w:rPr>
        <w:t> </w:t>
      </w:r>
      <w:r>
        <w:rPr>
          <w:vertAlign w:val="baseline"/>
        </w:rPr>
        <w:t>stipulated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cited</w:t>
      </w:r>
      <w:r>
        <w:rPr>
          <w:spacing w:val="1"/>
          <w:vertAlign w:val="baseline"/>
        </w:rPr>
        <w:t> </w:t>
      </w:r>
      <w:r>
        <w:rPr>
          <w:vertAlign w:val="baseline"/>
        </w:rPr>
        <w:t>rule.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their</w:t>
      </w:r>
      <w:r>
        <w:rPr>
          <w:spacing w:val="-57"/>
          <w:vertAlign w:val="baseline"/>
        </w:rPr>
        <w:t> </w:t>
      </w:r>
      <w:r>
        <w:rPr>
          <w:vertAlign w:val="baseline"/>
        </w:rPr>
        <w:t>submission that, the letter which was addressed to them raising the issue of the defect did not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particularize</w:t>
      </w:r>
      <w:r>
        <w:rPr>
          <w:spacing w:val="5"/>
          <w:vertAlign w:val="baseline"/>
        </w:rPr>
        <w:t> </w:t>
      </w:r>
      <w:r>
        <w:rPr>
          <w:vertAlign w:val="baseline"/>
        </w:rPr>
        <w:t>what</w:t>
      </w:r>
      <w:r>
        <w:rPr>
          <w:spacing w:val="7"/>
          <w:vertAlign w:val="baseline"/>
        </w:rPr>
        <w:t> </w:t>
      </w:r>
      <w:r>
        <w:rPr>
          <w:vertAlign w:val="baseline"/>
        </w:rPr>
        <w:t>manner</w:t>
      </w:r>
      <w:r>
        <w:rPr>
          <w:spacing w:val="6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summons</w:t>
      </w:r>
      <w:r>
        <w:rPr>
          <w:spacing w:val="7"/>
          <w:vertAlign w:val="baseline"/>
        </w:rPr>
        <w:t> </w:t>
      </w:r>
      <w:r>
        <w:rPr>
          <w:vertAlign w:val="baseline"/>
        </w:rPr>
        <w:t>were</w:t>
      </w:r>
      <w:r>
        <w:rPr>
          <w:spacing w:val="11"/>
          <w:vertAlign w:val="baseline"/>
        </w:rPr>
        <w:t> </w:t>
      </w:r>
      <w:r>
        <w:rPr>
          <w:vertAlign w:val="baseline"/>
        </w:rPr>
        <w:t>fatally</w:t>
      </w:r>
      <w:r>
        <w:rPr>
          <w:spacing w:val="2"/>
          <w:vertAlign w:val="baseline"/>
        </w:rPr>
        <w:t> </w:t>
      </w:r>
      <w:r>
        <w:rPr>
          <w:vertAlign w:val="baseline"/>
        </w:rPr>
        <w:t>defective</w:t>
      </w:r>
      <w:r>
        <w:rPr>
          <w:spacing w:val="8"/>
          <w:vertAlign w:val="baseline"/>
        </w:rPr>
        <w:t> </w:t>
      </w:r>
      <w:r>
        <w:rPr>
          <w:vertAlign w:val="baseline"/>
        </w:rPr>
        <w:t>so</w:t>
      </w:r>
      <w:r>
        <w:rPr>
          <w:spacing w:val="7"/>
          <w:vertAlign w:val="baseline"/>
        </w:rPr>
        <w:t> </w:t>
      </w:r>
      <w:r>
        <w:rPr>
          <w:vertAlign w:val="baseline"/>
        </w:rPr>
        <w:t>as</w:t>
      </w:r>
      <w:r>
        <w:rPr>
          <w:spacing w:val="7"/>
          <w:vertAlign w:val="baseline"/>
        </w:rPr>
        <w:t> </w:t>
      </w:r>
      <w:r>
        <w:rPr>
          <w:vertAlign w:val="baseline"/>
        </w:rPr>
        <w:t>to</w:t>
      </w:r>
      <w:r>
        <w:rPr>
          <w:spacing w:val="9"/>
          <w:vertAlign w:val="baseline"/>
        </w:rPr>
        <w:t> </w:t>
      </w:r>
      <w:r>
        <w:rPr>
          <w:vertAlign w:val="baseline"/>
        </w:rPr>
        <w:t>enable</w:t>
      </w:r>
      <w:r>
        <w:rPr>
          <w:spacing w:val="6"/>
          <w:vertAlign w:val="baseline"/>
        </w:rPr>
        <w:t> </w:t>
      </w:r>
      <w:r>
        <w:rPr>
          <w:vertAlign w:val="baseline"/>
        </w:rPr>
        <w:t>them</w:t>
      </w:r>
      <w:r>
        <w:rPr>
          <w:spacing w:val="7"/>
          <w:vertAlign w:val="baseline"/>
        </w:rPr>
        <w:t> </w:t>
      </w:r>
      <w:r>
        <w:rPr>
          <w:vertAlign w:val="baseline"/>
        </w:rPr>
        <w:t>to</w:t>
      </w:r>
      <w:r>
        <w:rPr>
          <w:spacing w:val="6"/>
          <w:vertAlign w:val="baseline"/>
        </w:rPr>
        <w:t> </w:t>
      </w:r>
      <w:r>
        <w:rPr>
          <w:vertAlign w:val="baseline"/>
        </w:rPr>
        <w:t>rectify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49" w:top="1760" w:bottom="280" w:left="1340" w:right="1320"/>
          <w:pgNumType w:start="1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60" w:lineRule="auto" w:before="90"/>
        <w:ind w:left="100" w:right="120"/>
        <w:jc w:val="both"/>
      </w:pPr>
      <w:r>
        <w:rPr/>
        <w:t>the flow. Further, they should have been given ample time within the 12 days window period</w:t>
      </w:r>
      <w:r>
        <w:rPr>
          <w:spacing w:val="1"/>
        </w:rPr>
        <w:t> </w:t>
      </w:r>
      <w:r>
        <w:rPr/>
        <w:t>to rectify</w:t>
      </w:r>
      <w:r>
        <w:rPr>
          <w:spacing w:val="-5"/>
        </w:rPr>
        <w:t> </w:t>
      </w:r>
      <w:r>
        <w:rPr/>
        <w:t>their</w:t>
      </w:r>
      <w:r>
        <w:rPr>
          <w:spacing w:val="-1"/>
        </w:rPr>
        <w:t> </w:t>
      </w:r>
      <w:r>
        <w:rPr/>
        <w:t>mistake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removing</w:t>
      </w:r>
      <w:r>
        <w:rPr>
          <w:spacing w:val="-3"/>
        </w:rPr>
        <w:t> </w:t>
      </w:r>
      <w:r>
        <w:rPr/>
        <w:t>the defect. Rule 42 (3)</w:t>
      </w:r>
      <w:r>
        <w:rPr>
          <w:spacing w:val="-1"/>
        </w:rPr>
        <w:t> </w:t>
      </w:r>
      <w:r>
        <w:rPr/>
        <w:t>reads:</w:t>
      </w:r>
    </w:p>
    <w:p>
      <w:pPr>
        <w:pStyle w:val="BodyText"/>
        <w:spacing w:before="159"/>
        <w:ind w:left="820" w:right="116"/>
        <w:jc w:val="both"/>
      </w:pPr>
      <w:r>
        <w:rPr/>
        <w:t>“Before filing any exception to a pleading or making a court application to strike out</w:t>
      </w:r>
      <w:r>
        <w:rPr>
          <w:spacing w:val="1"/>
        </w:rPr>
        <w:t> </w:t>
      </w:r>
      <w:r>
        <w:rPr/>
        <w:t>any portion of a pleading on any grounds, the party complaining of any pleading shall,</w:t>
      </w:r>
      <w:r>
        <w:rPr>
          <w:spacing w:val="-57"/>
        </w:rPr>
        <w:t> </w:t>
      </w:r>
      <w:r>
        <w:rPr/>
        <w:t>within the time allowed for filling a subsequent pleading, by written letter to his or her</w:t>
      </w:r>
      <w:r>
        <w:rPr>
          <w:spacing w:val="-57"/>
        </w:rPr>
        <w:t> </w:t>
      </w:r>
      <w:r>
        <w:rPr/>
        <w:t>opponents state the nature of his or her complaint and call upon the other party to</w:t>
      </w:r>
      <w:r>
        <w:rPr>
          <w:spacing w:val="1"/>
        </w:rPr>
        <w:t> </w:t>
      </w:r>
      <w:r>
        <w:rPr/>
        <w:t>remove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 of the</w:t>
      </w:r>
      <w:r>
        <w:rPr>
          <w:spacing w:val="-1"/>
        </w:rPr>
        <w:t> </w:t>
      </w:r>
      <w:r>
        <w:rPr/>
        <w:t>complaint within twelve days of the</w:t>
      </w:r>
      <w:r>
        <w:rPr>
          <w:spacing w:val="-3"/>
        </w:rPr>
        <w:t> </w:t>
      </w:r>
      <w:r>
        <w:rPr/>
        <w:t>compliant.”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100" w:right="117" w:firstLine="719"/>
        <w:jc w:val="both"/>
      </w:pPr>
      <w:r>
        <w:rPr/>
        <w:t>It is the 1</w:t>
      </w:r>
      <w:r>
        <w:rPr>
          <w:vertAlign w:val="superscript"/>
        </w:rPr>
        <w:t>st</w:t>
      </w:r>
      <w:r>
        <w:rPr>
          <w:vertAlign w:val="baseline"/>
        </w:rPr>
        <w:t> respondent‟s further argument that the applicant by failing to adhere to this</w:t>
      </w:r>
      <w:r>
        <w:rPr>
          <w:spacing w:val="-57"/>
          <w:vertAlign w:val="baseline"/>
        </w:rPr>
        <w:t> </w:t>
      </w:r>
      <w:r>
        <w:rPr>
          <w:vertAlign w:val="baseline"/>
        </w:rPr>
        <w:t>Rule, is equally at fault by breaching those provisions.</w:t>
      </w:r>
      <w:r>
        <w:rPr>
          <w:spacing w:val="60"/>
          <w:vertAlign w:val="baseline"/>
        </w:rPr>
        <w:t> </w:t>
      </w:r>
      <w:r>
        <w:rPr>
          <w:vertAlign w:val="baseline"/>
        </w:rPr>
        <w:t>Especially, after pointing it out to</w:t>
      </w:r>
      <w:r>
        <w:rPr>
          <w:spacing w:val="1"/>
          <w:vertAlign w:val="baseline"/>
        </w:rPr>
        <w:t> </w:t>
      </w:r>
      <w:r>
        <w:rPr>
          <w:vertAlign w:val="baseline"/>
        </w:rPr>
        <w:t>them</w:t>
      </w:r>
      <w:r>
        <w:rPr>
          <w:spacing w:val="27"/>
          <w:vertAlign w:val="baseline"/>
        </w:rPr>
        <w:t> </w:t>
      </w:r>
      <w:r>
        <w:rPr>
          <w:vertAlign w:val="baseline"/>
        </w:rPr>
        <w:t>in</w:t>
      </w:r>
      <w:r>
        <w:rPr>
          <w:spacing w:val="28"/>
          <w:vertAlign w:val="baseline"/>
        </w:rPr>
        <w:t> </w:t>
      </w:r>
      <w:r>
        <w:rPr>
          <w:vertAlign w:val="baseline"/>
        </w:rPr>
        <w:t>their</w:t>
      </w:r>
      <w:r>
        <w:rPr>
          <w:spacing w:val="25"/>
          <w:vertAlign w:val="baseline"/>
        </w:rPr>
        <w:t> </w:t>
      </w:r>
      <w:r>
        <w:rPr>
          <w:vertAlign w:val="baseline"/>
        </w:rPr>
        <w:t>letter</w:t>
      </w:r>
      <w:r>
        <w:rPr>
          <w:spacing w:val="26"/>
          <w:vertAlign w:val="baseline"/>
        </w:rPr>
        <w:t> </w:t>
      </w:r>
      <w:r>
        <w:rPr>
          <w:vertAlign w:val="baseline"/>
        </w:rPr>
        <w:t>dated</w:t>
      </w:r>
      <w:r>
        <w:rPr>
          <w:spacing w:val="28"/>
          <w:vertAlign w:val="baseline"/>
        </w:rPr>
        <w:t> </w:t>
      </w:r>
      <w:r>
        <w:rPr>
          <w:vertAlign w:val="baseline"/>
        </w:rPr>
        <w:t>the</w:t>
      </w:r>
      <w:r>
        <w:rPr>
          <w:spacing w:val="27"/>
          <w:vertAlign w:val="baseline"/>
        </w:rPr>
        <w:t> </w:t>
      </w:r>
      <w:r>
        <w:rPr>
          <w:vertAlign w:val="baseline"/>
        </w:rPr>
        <w:t>3</w:t>
      </w:r>
      <w:r>
        <w:rPr>
          <w:vertAlign w:val="superscript"/>
        </w:rPr>
        <w:t>rd</w:t>
      </w:r>
      <w:r>
        <w:rPr>
          <w:spacing w:val="27"/>
          <w:vertAlign w:val="baseline"/>
        </w:rPr>
        <w:t> </w:t>
      </w:r>
      <w:r>
        <w:rPr>
          <w:vertAlign w:val="baseline"/>
        </w:rPr>
        <w:t>of</w:t>
      </w:r>
      <w:r>
        <w:rPr>
          <w:spacing w:val="26"/>
          <w:vertAlign w:val="baseline"/>
        </w:rPr>
        <w:t> </w:t>
      </w:r>
      <w:r>
        <w:rPr>
          <w:vertAlign w:val="baseline"/>
        </w:rPr>
        <w:t>November</w:t>
      </w:r>
      <w:r>
        <w:rPr>
          <w:spacing w:val="26"/>
          <w:vertAlign w:val="baseline"/>
        </w:rPr>
        <w:t> </w:t>
      </w:r>
      <w:r>
        <w:rPr>
          <w:vertAlign w:val="baseline"/>
        </w:rPr>
        <w:t>2023.</w:t>
      </w:r>
      <w:r>
        <w:rPr>
          <w:spacing w:val="29"/>
          <w:vertAlign w:val="baseline"/>
        </w:rPr>
        <w:t> </w:t>
      </w:r>
      <w:r>
        <w:rPr>
          <w:vertAlign w:val="baseline"/>
        </w:rPr>
        <w:t>The</w:t>
      </w:r>
      <w:r>
        <w:rPr>
          <w:spacing w:val="26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st</w:t>
      </w:r>
      <w:r>
        <w:rPr>
          <w:spacing w:val="30"/>
          <w:vertAlign w:val="baseline"/>
        </w:rPr>
        <w:t> </w:t>
      </w:r>
      <w:r>
        <w:rPr>
          <w:vertAlign w:val="baseline"/>
        </w:rPr>
        <w:t>respondent</w:t>
      </w:r>
      <w:r>
        <w:rPr>
          <w:spacing w:val="25"/>
          <w:vertAlign w:val="baseline"/>
        </w:rPr>
        <w:t> </w:t>
      </w:r>
      <w:r>
        <w:rPr>
          <w:vertAlign w:val="baseline"/>
        </w:rPr>
        <w:t>further</w:t>
      </w:r>
      <w:r>
        <w:rPr>
          <w:spacing w:val="27"/>
          <w:vertAlign w:val="baseline"/>
        </w:rPr>
        <w:t> </w:t>
      </w:r>
      <w:r>
        <w:rPr>
          <w:vertAlign w:val="baseline"/>
        </w:rPr>
        <w:t>argues</w:t>
      </w:r>
      <w:r>
        <w:rPr>
          <w:spacing w:val="27"/>
          <w:vertAlign w:val="baseline"/>
        </w:rPr>
        <w:t> </w:t>
      </w:r>
      <w:r>
        <w:rPr>
          <w:vertAlign w:val="baseline"/>
        </w:rPr>
        <w:t>that</w:t>
      </w:r>
      <w:r>
        <w:rPr>
          <w:spacing w:val="-58"/>
          <w:vertAlign w:val="baseline"/>
        </w:rPr>
        <w:t> </w:t>
      </w:r>
      <w:r>
        <w:rPr>
          <w:vertAlign w:val="baseline"/>
        </w:rPr>
        <w:t>rule 42 (6) of the High Court Rules requires an exception to state the grounds upon which it is</w:t>
      </w:r>
      <w:r>
        <w:rPr>
          <w:spacing w:val="-57"/>
          <w:vertAlign w:val="baseline"/>
        </w:rPr>
        <w:t> </w:t>
      </w:r>
      <w:r>
        <w:rPr>
          <w:vertAlign w:val="baseline"/>
        </w:rPr>
        <w:t>founded</w:t>
      </w:r>
      <w:r>
        <w:rPr>
          <w:spacing w:val="-1"/>
          <w:vertAlign w:val="baseline"/>
        </w:rPr>
        <w:t> </w:t>
      </w:r>
      <w:r>
        <w:rPr>
          <w:vertAlign w:val="baseline"/>
        </w:rPr>
        <w:t>clearly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concisely, which the applicant</w:t>
      </w:r>
      <w:r>
        <w:rPr>
          <w:spacing w:val="2"/>
          <w:vertAlign w:val="baseline"/>
        </w:rPr>
        <w:t> </w:t>
      </w:r>
      <w:r>
        <w:rPr>
          <w:vertAlign w:val="baseline"/>
        </w:rPr>
        <w:t>failed to do.</w:t>
      </w:r>
    </w:p>
    <w:p>
      <w:pPr>
        <w:pStyle w:val="BodyText"/>
        <w:spacing w:before="160"/>
        <w:ind w:left="820"/>
        <w:jc w:val="both"/>
      </w:pPr>
      <w:r>
        <w:rPr/>
        <w:t>They</w:t>
      </w:r>
      <w:r>
        <w:rPr>
          <w:spacing w:val="-4"/>
        </w:rPr>
        <w:t> </w:t>
      </w:r>
      <w:r>
        <w:rPr/>
        <w:t>cited</w:t>
      </w:r>
      <w:r>
        <w:rPr>
          <w:spacing w:val="-1"/>
        </w:rPr>
        <w:t> </w:t>
      </w:r>
      <w:r>
        <w:rPr/>
        <w:t>Rule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(6)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reads: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20" w:right="119"/>
        <w:jc w:val="both"/>
      </w:pPr>
      <w:r>
        <w:rPr/>
        <w:t>“Wherever an exception or plea in bar or abatement is taken to any pleading, the</w:t>
      </w:r>
      <w:r>
        <w:rPr>
          <w:spacing w:val="1"/>
        </w:rPr>
        <w:t> </w:t>
      </w:r>
      <w:r>
        <w:rPr/>
        <w:t>grounds</w:t>
      </w:r>
      <w:r>
        <w:rPr>
          <w:spacing w:val="32"/>
        </w:rPr>
        <w:t> </w:t>
      </w:r>
      <w:r>
        <w:rPr/>
        <w:t>upon</w:t>
      </w:r>
      <w:r>
        <w:rPr>
          <w:spacing w:val="33"/>
        </w:rPr>
        <w:t> </w:t>
      </w:r>
      <w:r>
        <w:rPr/>
        <w:t>which</w:t>
      </w:r>
      <w:r>
        <w:rPr>
          <w:spacing w:val="33"/>
        </w:rPr>
        <w:t> </w:t>
      </w:r>
      <w:r>
        <w:rPr/>
        <w:t>it</w:t>
      </w:r>
      <w:r>
        <w:rPr>
          <w:spacing w:val="33"/>
        </w:rPr>
        <w:t> </w:t>
      </w:r>
      <w:r>
        <w:rPr/>
        <w:t>is</w:t>
      </w:r>
      <w:r>
        <w:rPr>
          <w:spacing w:val="33"/>
        </w:rPr>
        <w:t> </w:t>
      </w:r>
      <w:r>
        <w:rPr/>
        <w:t>founded</w:t>
      </w:r>
      <w:r>
        <w:rPr>
          <w:spacing w:val="32"/>
        </w:rPr>
        <w:t> </w:t>
      </w:r>
      <w:r>
        <w:rPr/>
        <w:t>shall</w:t>
      </w:r>
      <w:r>
        <w:rPr>
          <w:spacing w:val="33"/>
        </w:rPr>
        <w:t> </w:t>
      </w:r>
      <w:r>
        <w:rPr/>
        <w:t>be</w:t>
      </w:r>
      <w:r>
        <w:rPr>
          <w:spacing w:val="31"/>
        </w:rPr>
        <w:t> </w:t>
      </w:r>
      <w:r>
        <w:rPr/>
        <w:t>clearly</w:t>
      </w:r>
      <w:r>
        <w:rPr>
          <w:spacing w:val="28"/>
        </w:rPr>
        <w:t> </w:t>
      </w:r>
      <w:r>
        <w:rPr/>
        <w:t>and</w:t>
      </w:r>
      <w:r>
        <w:rPr>
          <w:spacing w:val="32"/>
        </w:rPr>
        <w:t> </w:t>
      </w:r>
      <w:r>
        <w:rPr/>
        <w:t>concisely</w:t>
      </w:r>
      <w:r>
        <w:rPr>
          <w:spacing w:val="26"/>
        </w:rPr>
        <w:t> </w:t>
      </w:r>
      <w:r>
        <w:rPr/>
        <w:t>stated</w:t>
      </w:r>
      <w:r>
        <w:rPr>
          <w:spacing w:val="31"/>
        </w:rPr>
        <w:t> </w:t>
      </w:r>
      <w:r>
        <w:rPr/>
        <w:t>and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party</w:t>
      </w:r>
      <w:r>
        <w:rPr>
          <w:spacing w:val="-57"/>
        </w:rPr>
        <w:t> </w:t>
      </w:r>
      <w:r>
        <w:rPr/>
        <w:t>shall stated all his or her exceptions, special pleas and make all his or her applications</w:t>
      </w:r>
      <w:r>
        <w:rPr>
          <w:spacing w:val="1"/>
        </w:rPr>
        <w:t> </w:t>
      </w:r>
      <w:r>
        <w:rPr/>
        <w:t>to strike</w:t>
      </w:r>
      <w:r>
        <w:rPr>
          <w:spacing w:val="-3"/>
        </w:rPr>
        <w:t> </w:t>
      </w:r>
      <w:r>
        <w:rPr/>
        <w:t>out at one</w:t>
      </w:r>
      <w:r>
        <w:rPr>
          <w:spacing w:val="-1"/>
        </w:rPr>
        <w:t> </w:t>
      </w:r>
      <w:r>
        <w:rPr/>
        <w:t>time.”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100" w:right="116" w:firstLine="719"/>
        <w:jc w:val="both"/>
      </w:pPr>
      <w:r>
        <w:rPr/>
        <w:t>In any event, they also submit, even if on the face of the summons there may not be</w:t>
      </w:r>
      <w:r>
        <w:rPr>
          <w:spacing w:val="1"/>
        </w:rPr>
        <w:t> </w:t>
      </w:r>
      <w:r>
        <w:rPr/>
        <w:t>mention of the claim in precise terms, this is cured by the detailed declaration capturing both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relief</w:t>
      </w:r>
      <w:r>
        <w:rPr>
          <w:spacing w:val="1"/>
        </w:rPr>
        <w:t> </w:t>
      </w:r>
      <w:r>
        <w:rPr/>
        <w:t>sought.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respondents‟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view,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combined</w:t>
      </w:r>
      <w:r>
        <w:rPr>
          <w:spacing w:val="1"/>
        </w:rPr>
        <w:t> </w:t>
      </w:r>
      <w:r>
        <w:rPr/>
        <w:t>importation of the summons and declaration illustrates that the 1</w:t>
      </w:r>
      <w:r>
        <w:rPr>
          <w:vertAlign w:val="superscript"/>
        </w:rPr>
        <w:t>st</w:t>
      </w:r>
      <w:r>
        <w:rPr>
          <w:vertAlign w:val="baseline"/>
        </w:rPr>
        <w:t> respondent as the plaintiff</w:t>
      </w:r>
      <w:r>
        <w:rPr>
          <w:spacing w:val="1"/>
          <w:vertAlign w:val="baseline"/>
        </w:rPr>
        <w:t> </w:t>
      </w:r>
      <w:r>
        <w:rPr>
          <w:vertAlign w:val="baseline"/>
        </w:rPr>
        <w:t>in the main action, does have some rights in the disputed from which the applicant does not</w:t>
      </w:r>
      <w:r>
        <w:rPr>
          <w:spacing w:val="1"/>
          <w:vertAlign w:val="baseline"/>
        </w:rPr>
        <w:t> </w:t>
      </w:r>
      <w:r>
        <w:rPr>
          <w:vertAlign w:val="baseline"/>
        </w:rPr>
        <w:t>have.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such,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virtue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those</w:t>
      </w:r>
      <w:r>
        <w:rPr>
          <w:spacing w:val="1"/>
          <w:vertAlign w:val="baseline"/>
        </w:rPr>
        <w:t> </w:t>
      </w:r>
      <w:r>
        <w:rPr>
          <w:vertAlign w:val="baseline"/>
        </w:rPr>
        <w:t>rights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st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respondent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entitled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his</w:t>
      </w:r>
      <w:r>
        <w:rPr>
          <w:spacing w:val="1"/>
          <w:vertAlign w:val="baseline"/>
        </w:rPr>
        <w:t> </w:t>
      </w:r>
      <w:r>
        <w:rPr>
          <w:vertAlign w:val="baseline"/>
        </w:rPr>
        <w:t>claim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-57"/>
          <w:vertAlign w:val="baseline"/>
        </w:rPr>
        <w:t> </w:t>
      </w:r>
      <w:r>
        <w:rPr>
          <w:vertAlign w:val="baseline"/>
        </w:rPr>
        <w:t>affirmation of those rights and the eviction of the applicant. In addition, the 1</w:t>
      </w:r>
      <w:r>
        <w:rPr>
          <w:vertAlign w:val="superscript"/>
        </w:rPr>
        <w:t>st</w:t>
      </w:r>
      <w:r>
        <w:rPr>
          <w:vertAlign w:val="baseline"/>
        </w:rPr>
        <w:t> respondent</w:t>
      </w:r>
      <w:r>
        <w:rPr>
          <w:spacing w:val="1"/>
          <w:vertAlign w:val="baseline"/>
        </w:rPr>
        <w:t> </w:t>
      </w:r>
      <w:r>
        <w:rPr>
          <w:vertAlign w:val="baseline"/>
        </w:rPr>
        <w:t>states that there is no prejudice that has been alluded to by the applicants necessitating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upholding</w:t>
      </w:r>
      <w:r>
        <w:rPr>
          <w:spacing w:val="-3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2"/>
          <w:vertAlign w:val="baseline"/>
        </w:rPr>
        <w:t> </w:t>
      </w:r>
      <w:r>
        <w:rPr>
          <w:vertAlign w:val="baseline"/>
        </w:rPr>
        <w:t>exception.</w:t>
      </w:r>
    </w:p>
    <w:p>
      <w:pPr>
        <w:pStyle w:val="BodyText"/>
        <w:spacing w:line="360" w:lineRule="auto" w:before="161"/>
        <w:ind w:left="100" w:right="113" w:firstLine="719"/>
        <w:jc w:val="both"/>
      </w:pPr>
      <w:r>
        <w:rPr/>
        <w:t>Finally, they attack the relief sought in the exception as not recognisable at law. They</w:t>
      </w:r>
      <w:r>
        <w:rPr>
          <w:spacing w:val="1"/>
        </w:rPr>
        <w:t> </w:t>
      </w:r>
      <w:r>
        <w:rPr/>
        <w:t>advert that striking off is a drastic measure as opposed to a relief giving the 1</w:t>
      </w:r>
      <w:r>
        <w:rPr>
          <w:vertAlign w:val="superscript"/>
        </w:rPr>
        <w:t>st</w:t>
      </w:r>
      <w:r>
        <w:rPr>
          <w:vertAlign w:val="baseline"/>
        </w:rPr>
        <w:t> respondent an</w:t>
      </w:r>
      <w:r>
        <w:rPr>
          <w:spacing w:val="1"/>
          <w:vertAlign w:val="baseline"/>
        </w:rPr>
        <w:t> </w:t>
      </w:r>
      <w:r>
        <w:rPr>
          <w:vertAlign w:val="baseline"/>
        </w:rPr>
        <w:t>opportunity</w:t>
      </w:r>
      <w:r>
        <w:rPr>
          <w:spacing w:val="-6"/>
          <w:vertAlign w:val="baseline"/>
        </w:rPr>
        <w:t> </w:t>
      </w:r>
      <w:r>
        <w:rPr>
          <w:vertAlign w:val="baseline"/>
        </w:rPr>
        <w:t>to amend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summons as is the norm.</w:t>
      </w:r>
    </w:p>
    <w:p>
      <w:pPr>
        <w:pStyle w:val="BodyText"/>
        <w:spacing w:line="360" w:lineRule="auto" w:before="160"/>
        <w:ind w:left="100" w:right="119" w:firstLine="719"/>
        <w:jc w:val="both"/>
      </w:pPr>
      <w:r>
        <w:rPr/>
        <w:t>Is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waived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representations</w:t>
      </w:r>
      <w:r>
        <w:rPr>
          <w:spacing w:val="13"/>
        </w:rPr>
        <w:t> </w:t>
      </w:r>
      <w:r>
        <w:rPr/>
        <w:t>through</w:t>
      </w:r>
      <w:r>
        <w:rPr>
          <w:spacing w:val="14"/>
        </w:rPr>
        <w:t> </w:t>
      </w:r>
      <w:r>
        <w:rPr/>
        <w:t>letters</w:t>
      </w:r>
      <w:r>
        <w:rPr>
          <w:spacing w:val="13"/>
        </w:rPr>
        <w:t> </w:t>
      </w:r>
      <w:r>
        <w:rPr/>
        <w:t>after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virtual</w:t>
      </w:r>
      <w:r>
        <w:rPr>
          <w:spacing w:val="13"/>
        </w:rPr>
        <w:t> </w:t>
      </w:r>
      <w:r>
        <w:rPr/>
        <w:t>hearing</w:t>
      </w:r>
      <w:r>
        <w:rPr>
          <w:spacing w:val="13"/>
        </w:rPr>
        <w:t> </w:t>
      </w:r>
      <w:r>
        <w:rPr/>
        <w:t>collapsed</w:t>
      </w:r>
      <w:r>
        <w:rPr>
          <w:spacing w:val="13"/>
        </w:rPr>
        <w:t> </w:t>
      </w:r>
      <w:r>
        <w:rPr/>
        <w:t>on</w:t>
      </w:r>
      <w:r>
        <w:rPr>
          <w:spacing w:val="16"/>
        </w:rPr>
        <w:t> </w:t>
      </w:r>
      <w:r>
        <w:rPr/>
        <w:t>connectivity</w:t>
      </w:r>
      <w:r>
        <w:rPr>
          <w:spacing w:val="9"/>
        </w:rPr>
        <w:t> </w:t>
      </w:r>
      <w:r>
        <w:rPr/>
        <w:t>challenges.</w:t>
      </w:r>
    </w:p>
    <w:p>
      <w:pPr>
        <w:spacing w:after="0" w:line="360" w:lineRule="auto"/>
        <w:jc w:val="both"/>
        <w:sectPr>
          <w:pgSz w:w="11910" w:h="16840"/>
          <w:pgMar w:header="749" w:footer="0" w:top="1760" w:bottom="280" w:left="1340" w:right="13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60" w:lineRule="auto" w:before="90"/>
        <w:ind w:left="100"/>
      </w:pPr>
      <w:r>
        <w:rPr/>
        <w:t>On</w:t>
      </w:r>
      <w:r>
        <w:rPr>
          <w:spacing w:val="10"/>
        </w:rPr>
        <w:t> </w:t>
      </w:r>
      <w:r>
        <w:rPr/>
        <w:t>further</w:t>
      </w:r>
      <w:r>
        <w:rPr>
          <w:spacing w:val="13"/>
        </w:rPr>
        <w:t> </w:t>
      </w:r>
      <w:r>
        <w:rPr/>
        <w:t>analysis,</w:t>
      </w:r>
      <w:r>
        <w:rPr>
          <w:spacing w:val="10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set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facts</w:t>
      </w:r>
      <w:r>
        <w:rPr>
          <w:spacing w:val="11"/>
        </w:rPr>
        <w:t> </w:t>
      </w:r>
      <w:r>
        <w:rPr/>
        <w:t>presented,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parties</w:t>
      </w:r>
      <w:r>
        <w:rPr>
          <w:spacing w:val="11"/>
        </w:rPr>
        <w:t> </w:t>
      </w:r>
      <w:r>
        <w:rPr/>
        <w:t>founding</w:t>
      </w:r>
      <w:r>
        <w:rPr>
          <w:spacing w:val="8"/>
        </w:rPr>
        <w:t> </w:t>
      </w:r>
      <w:r>
        <w:rPr/>
        <w:t>papers</w:t>
      </w:r>
      <w:r>
        <w:rPr>
          <w:spacing w:val="15"/>
        </w:rPr>
        <w:t> </w:t>
      </w:r>
      <w:r>
        <w:rPr/>
        <w:t>and</w:t>
      </w:r>
      <w:r>
        <w:rPr>
          <w:spacing w:val="10"/>
        </w:rPr>
        <w:t> </w:t>
      </w:r>
      <w:r>
        <w:rPr/>
        <w:t>heads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argument, the issues that take centre</w:t>
      </w:r>
      <w:r>
        <w:rPr>
          <w:spacing w:val="-2"/>
        </w:rPr>
        <w:t> </w:t>
      </w:r>
      <w:r>
        <w:rPr/>
        <w:t>stage</w:t>
      </w:r>
      <w:r>
        <w:rPr>
          <w:spacing w:val="1"/>
        </w:rPr>
        <w:t> </w:t>
      </w:r>
      <w:r>
        <w:rPr/>
        <w:t>are: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161" w:after="0"/>
        <w:ind w:left="1180" w:right="0" w:hanging="361"/>
        <w:jc w:val="left"/>
        <w:rPr>
          <w:sz w:val="24"/>
        </w:rPr>
      </w:pP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respondent‟s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summons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fatally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defective?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139" w:after="0"/>
        <w:ind w:left="1180" w:right="0" w:hanging="361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applicant‟s</w:t>
      </w:r>
      <w:r>
        <w:rPr>
          <w:spacing w:val="-5"/>
          <w:sz w:val="24"/>
        </w:rPr>
        <w:t> </w:t>
      </w:r>
      <w:r>
        <w:rPr>
          <w:sz w:val="24"/>
        </w:rPr>
        <w:t>exception</w:t>
      </w:r>
      <w:r>
        <w:rPr>
          <w:spacing w:val="-5"/>
          <w:sz w:val="24"/>
        </w:rPr>
        <w:t> </w:t>
      </w:r>
      <w:r>
        <w:rPr>
          <w:sz w:val="24"/>
        </w:rPr>
        <w:t>equally</w:t>
      </w:r>
      <w:r>
        <w:rPr>
          <w:spacing w:val="-10"/>
          <w:sz w:val="24"/>
        </w:rPr>
        <w:t> </w:t>
      </w:r>
      <w:r>
        <w:rPr>
          <w:sz w:val="24"/>
        </w:rPr>
        <w:t>defective?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137" w:after="0"/>
        <w:ind w:left="1180" w:right="0" w:hanging="361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exception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upheld?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00" w:right="115" w:firstLine="719"/>
        <w:jc w:val="both"/>
      </w:pPr>
      <w:r>
        <w:rPr/>
        <w:t>The first issue to consider is, was the 1</w:t>
      </w:r>
      <w:r>
        <w:rPr>
          <w:vertAlign w:val="superscript"/>
        </w:rPr>
        <w:t>st</w:t>
      </w:r>
      <w:r>
        <w:rPr>
          <w:vertAlign w:val="baseline"/>
        </w:rPr>
        <w:t> respondent‟s summons fatally defective? To</w:t>
      </w:r>
      <w:r>
        <w:rPr>
          <w:spacing w:val="1"/>
          <w:vertAlign w:val="baseline"/>
        </w:rPr>
        <w:t> </w:t>
      </w:r>
      <w:r>
        <w:rPr>
          <w:vertAlign w:val="baseline"/>
        </w:rPr>
        <w:t>begin with, what needs interrogation is whether or not the summons was defective in order to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determine or condemn it as totally irredeemable. It is trite that summons set forth the cause of</w:t>
      </w:r>
      <w:r>
        <w:rPr>
          <w:spacing w:val="-57"/>
          <w:vertAlign w:val="baseline"/>
        </w:rPr>
        <w:t> </w:t>
      </w:r>
      <w:r>
        <w:rPr>
          <w:vertAlign w:val="baseline"/>
        </w:rPr>
        <w:t>action upon which the defendant is answerable. It specifies the wrong, harm or injury that has</w:t>
      </w:r>
      <w:r>
        <w:rPr>
          <w:spacing w:val="-57"/>
          <w:vertAlign w:val="baseline"/>
        </w:rPr>
        <w:t> </w:t>
      </w:r>
      <w:r>
        <w:rPr>
          <w:vertAlign w:val="baseline"/>
        </w:rPr>
        <w:t>been perpetrated by the wrong doer. It also spells out the manner in which these injuries were</w:t>
      </w:r>
      <w:r>
        <w:rPr>
          <w:spacing w:val="-57"/>
          <w:vertAlign w:val="baseline"/>
        </w:rPr>
        <w:t> </w:t>
      </w:r>
      <w:r>
        <w:rPr>
          <w:vertAlign w:val="baseline"/>
        </w:rPr>
        <w:t>done</w:t>
      </w:r>
      <w:r>
        <w:rPr>
          <w:spacing w:val="-2"/>
          <w:vertAlign w:val="baseline"/>
        </w:rPr>
        <w:t> </w:t>
      </w:r>
      <w:r>
        <w:rPr>
          <w:vertAlign w:val="baseline"/>
        </w:rPr>
        <w:t>as well as the</w:t>
      </w:r>
      <w:r>
        <w:rPr>
          <w:spacing w:val="1"/>
          <w:vertAlign w:val="baseline"/>
        </w:rPr>
        <w:t> </w:t>
      </w:r>
      <w:r>
        <w:rPr>
          <w:vertAlign w:val="baseline"/>
        </w:rPr>
        <w:t>remedy</w:t>
      </w:r>
      <w:r>
        <w:rPr>
          <w:spacing w:val="-5"/>
          <w:vertAlign w:val="baseline"/>
        </w:rPr>
        <w:t> </w:t>
      </w:r>
      <w:r>
        <w:rPr>
          <w:vertAlign w:val="baseline"/>
        </w:rPr>
        <w:t>sought.</w:t>
      </w:r>
    </w:p>
    <w:p>
      <w:pPr>
        <w:spacing w:line="360" w:lineRule="auto" w:before="162"/>
        <w:ind w:left="100" w:right="118" w:firstLine="719"/>
        <w:jc w:val="both"/>
        <w:rPr>
          <w:sz w:val="24"/>
        </w:rPr>
      </w:pPr>
      <w:r>
        <w:rPr>
          <w:sz w:val="24"/>
        </w:rPr>
        <w:t>What constitute a cause of action was enunciated in several cases amongst them</w:t>
      </w:r>
      <w:r>
        <w:rPr>
          <w:spacing w:val="1"/>
          <w:sz w:val="24"/>
        </w:rPr>
        <w:t> </w:t>
      </w:r>
      <w:r>
        <w:rPr>
          <w:i/>
          <w:sz w:val="24"/>
        </w:rPr>
        <w:t>Mudhanda v The Registrar of Deeds &amp; Anor SC 5/18</w:t>
      </w:r>
      <w:r>
        <w:rPr>
          <w:sz w:val="24"/>
        </w:rPr>
        <w:t>. Gowora JA (as she then) was in that</w:t>
      </w:r>
      <w:r>
        <w:rPr>
          <w:spacing w:val="1"/>
          <w:sz w:val="24"/>
        </w:rPr>
        <w:t> </w:t>
      </w:r>
      <w:r>
        <w:rPr>
          <w:sz w:val="24"/>
        </w:rPr>
        <w:t>case of </w:t>
      </w:r>
      <w:r>
        <w:rPr>
          <w:i/>
          <w:sz w:val="24"/>
        </w:rPr>
        <w:t>Mudhanda </w:t>
      </w:r>
      <w:r>
        <w:rPr>
          <w:sz w:val="24"/>
        </w:rPr>
        <w:t>above cited the case of </w:t>
      </w:r>
      <w:r>
        <w:rPr>
          <w:i/>
          <w:sz w:val="24"/>
        </w:rPr>
        <w:t>Abrahams &amp; Sons v SA Ralways and Harbours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1933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CPD 626,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637 were</w:t>
      </w:r>
      <w:r>
        <w:rPr>
          <w:spacing w:val="-2"/>
          <w:sz w:val="24"/>
        </w:rPr>
        <w:t> </w:t>
      </w:r>
      <w:r>
        <w:rPr>
          <w:sz w:val="24"/>
        </w:rPr>
        <w:t>WATERMEYER J</w:t>
      </w:r>
      <w:r>
        <w:rPr>
          <w:spacing w:val="1"/>
          <w:sz w:val="24"/>
        </w:rPr>
        <w:t> </w:t>
      </w:r>
      <w:r>
        <w:rPr>
          <w:sz w:val="24"/>
        </w:rPr>
        <w:t>described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of action as;</w:t>
      </w:r>
    </w:p>
    <w:p>
      <w:pPr>
        <w:pStyle w:val="BodyText"/>
        <w:spacing w:before="156"/>
        <w:ind w:left="820" w:right="118"/>
        <w:jc w:val="both"/>
      </w:pPr>
      <w:r>
        <w:rPr/>
        <w:t>“The proper meaning of the expression „cause of action‟ is the entire set of facts</w:t>
      </w:r>
      <w:r>
        <w:rPr>
          <w:spacing w:val="1"/>
        </w:rPr>
        <w:t> </w:t>
      </w:r>
      <w:r>
        <w:rPr/>
        <w:t>which give rise to an enforceable claim and includes every act which is material to be</w:t>
      </w:r>
      <w:r>
        <w:rPr>
          <w:spacing w:val="1"/>
        </w:rPr>
        <w:t> </w:t>
      </w:r>
      <w:r>
        <w:rPr/>
        <w:t>proved to entitle a plaintiff to succeed in his claim. It included all that a plaintiff must</w:t>
      </w:r>
      <w:r>
        <w:rPr>
          <w:spacing w:val="1"/>
        </w:rPr>
        <w:t> </w:t>
      </w:r>
      <w:r>
        <w:rPr/>
        <w:t>set out in his declaration in order to set out in his declaration in order to disclose a</w:t>
      </w:r>
      <w:r>
        <w:rPr>
          <w:spacing w:val="1"/>
        </w:rPr>
        <w:t> </w:t>
      </w:r>
      <w:r>
        <w:rPr/>
        <w:t>cause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action.”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 w:before="1"/>
        <w:ind w:left="100" w:right="115" w:firstLine="719"/>
        <w:jc w:val="both"/>
        <w:rPr>
          <w:i/>
        </w:rPr>
      </w:pPr>
      <w:r>
        <w:rPr/>
        <w:t>In my view, I can paraphrase that a cause of action requires three factors to be</w:t>
      </w:r>
      <w:r>
        <w:rPr>
          <w:spacing w:val="1"/>
        </w:rPr>
        <w:t> </w:t>
      </w:r>
      <w:r>
        <w:rPr/>
        <w:t>outlined. That is the, injury or harm, the manner, the injury or wrong was perpetrated, or why</w:t>
      </w:r>
      <w:r>
        <w:rPr>
          <w:spacing w:val="1"/>
        </w:rPr>
        <w:t> </w:t>
      </w:r>
      <w:r>
        <w:rPr/>
        <w:t>the defendant should be liable?</w:t>
      </w:r>
      <w:r>
        <w:rPr>
          <w:spacing w:val="60"/>
        </w:rPr>
        <w:t> </w:t>
      </w:r>
      <w:r>
        <w:rPr/>
        <w:t>That in itself encompasses the facts and allegations of how</w:t>
      </w:r>
      <w:r>
        <w:rPr>
          <w:spacing w:val="1"/>
        </w:rPr>
        <w:t> </w:t>
      </w:r>
      <w:r>
        <w:rPr/>
        <w:t>the misfeasance took place and why it is necessary for the misfeasant to be accountable.</w:t>
      </w:r>
      <w:r>
        <w:rPr>
          <w:spacing w:val="1"/>
        </w:rPr>
        <w:t> </w:t>
      </w:r>
      <w:r>
        <w:rPr/>
        <w:t>Lastly,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remedy,</w:t>
      </w:r>
      <w:r>
        <w:rPr>
          <w:spacing w:val="9"/>
        </w:rPr>
        <w:t> </w:t>
      </w:r>
      <w:r>
        <w:rPr/>
        <w:t>or</w:t>
      </w:r>
      <w:r>
        <w:rPr>
          <w:spacing w:val="7"/>
        </w:rPr>
        <w:t> </w:t>
      </w:r>
      <w:r>
        <w:rPr/>
        <w:t>redress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correct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wrong.</w:t>
      </w:r>
      <w:r>
        <w:rPr>
          <w:spacing w:val="13"/>
        </w:rPr>
        <w:t> </w:t>
      </w:r>
      <w:r>
        <w:rPr/>
        <w:t>See</w:t>
      </w:r>
      <w:r>
        <w:rPr>
          <w:spacing w:val="8"/>
        </w:rPr>
        <w:t> </w:t>
      </w:r>
      <w:r>
        <w:rPr>
          <w:i/>
        </w:rPr>
        <w:t>Stanbic</w:t>
      </w:r>
      <w:r>
        <w:rPr>
          <w:i/>
          <w:spacing w:val="8"/>
        </w:rPr>
        <w:t> </w:t>
      </w:r>
      <w:r>
        <w:rPr>
          <w:i/>
        </w:rPr>
        <w:t>Bank</w:t>
      </w:r>
      <w:r>
        <w:rPr>
          <w:i/>
          <w:spacing w:val="7"/>
        </w:rPr>
        <w:t> </w:t>
      </w:r>
      <w:r>
        <w:rPr>
          <w:i/>
        </w:rPr>
        <w:t>of</w:t>
      </w:r>
      <w:r>
        <w:rPr>
          <w:i/>
          <w:spacing w:val="11"/>
        </w:rPr>
        <w:t> </w:t>
      </w:r>
      <w:r>
        <w:rPr>
          <w:i/>
        </w:rPr>
        <w:t>Zimbabwe</w:t>
      </w:r>
      <w:r>
        <w:rPr>
          <w:i/>
          <w:spacing w:val="8"/>
        </w:rPr>
        <w:t> </w:t>
      </w:r>
      <w:r>
        <w:rPr>
          <w:i/>
        </w:rPr>
        <w:t>Ltd</w:t>
      </w:r>
      <w:r>
        <w:rPr>
          <w:i/>
          <w:spacing w:val="8"/>
        </w:rPr>
        <w:t> </w:t>
      </w:r>
      <w:r>
        <w:rPr>
          <w:i/>
        </w:rPr>
        <w:t>2007</w:t>
      </w:r>
    </w:p>
    <w:p>
      <w:pPr>
        <w:spacing w:line="276" w:lineRule="exact" w:before="0"/>
        <w:ind w:left="100" w:right="0" w:firstLine="0"/>
        <w:jc w:val="both"/>
        <w:rPr>
          <w:sz w:val="24"/>
        </w:rPr>
      </w:pPr>
      <w:r>
        <w:rPr>
          <w:i/>
          <w:sz w:val="24"/>
        </w:rPr>
        <w:t>(1)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ZLR 399,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Radebe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Ors v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Oosthuizen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Ors (2015/36616)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[2023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SAFLIII</w:t>
      </w:r>
      <w:r>
        <w:rPr>
          <w:sz w:val="24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spacing w:line="360" w:lineRule="auto" w:before="1"/>
        <w:ind w:left="100" w:right="118" w:firstLine="719"/>
        <w:jc w:val="both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Mawire v Rio Zim Limited (Private) (SC 13 of 2021, Civil Appeal CS795 of 2017)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[2021] ZWSC 13 09 March 2021 </w:t>
      </w:r>
      <w:r>
        <w:rPr>
          <w:sz w:val="24"/>
        </w:rPr>
        <w:t>the Appellate court made reference to the case of </w:t>
      </w:r>
      <w:r>
        <w:rPr>
          <w:i/>
          <w:sz w:val="24"/>
        </w:rPr>
        <w:t>Peebles 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Dairiboard (Pvt) Ltd 1999 (1) ZLR 41 (H) at 54 E-f </w:t>
      </w:r>
      <w:r>
        <w:rPr>
          <w:sz w:val="24"/>
        </w:rPr>
        <w:t>wherein MALABA J (as he then was)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cause of action</w:t>
      </w:r>
      <w:r>
        <w:rPr>
          <w:spacing w:val="2"/>
          <w:sz w:val="24"/>
        </w:rPr>
        <w:t> </w:t>
      </w:r>
      <w:r>
        <w:rPr>
          <w:sz w:val="24"/>
        </w:rPr>
        <w:t>as;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49" w:footer="0" w:top="1760" w:bottom="280" w:left="1340" w:right="13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820" w:right="117"/>
        <w:jc w:val="both"/>
      </w:pPr>
      <w:r>
        <w:rPr/>
        <w:t>“A cause of action is defined by Lord Esther MR in Read v Brown (1888) 22 QB 131,</w:t>
      </w:r>
      <w:r>
        <w:rPr>
          <w:spacing w:val="-57"/>
        </w:rPr>
        <w:t> </w:t>
      </w:r>
      <w:r>
        <w:rPr/>
        <w:t>as</w:t>
      </w:r>
      <w:r>
        <w:rPr>
          <w:spacing w:val="35"/>
        </w:rPr>
        <w:t> </w:t>
      </w:r>
      <w:r>
        <w:rPr/>
        <w:t>every</w:t>
      </w:r>
      <w:r>
        <w:rPr>
          <w:spacing w:val="33"/>
        </w:rPr>
        <w:t> </w:t>
      </w:r>
      <w:r>
        <w:rPr/>
        <w:t>fact</w:t>
      </w:r>
      <w:r>
        <w:rPr>
          <w:spacing w:val="36"/>
        </w:rPr>
        <w:t> </w:t>
      </w:r>
      <w:r>
        <w:rPr/>
        <w:t>which</w:t>
      </w:r>
      <w:r>
        <w:rPr>
          <w:spacing w:val="35"/>
        </w:rPr>
        <w:t> </w:t>
      </w:r>
      <w:r>
        <w:rPr/>
        <w:t>it</w:t>
      </w:r>
      <w:r>
        <w:rPr>
          <w:spacing w:val="38"/>
        </w:rPr>
        <w:t> </w:t>
      </w:r>
      <w:r>
        <w:rPr/>
        <w:t>would</w:t>
      </w:r>
      <w:r>
        <w:rPr>
          <w:spacing w:val="35"/>
        </w:rPr>
        <w:t> </w:t>
      </w:r>
      <w:r>
        <w:rPr/>
        <w:t>be</w:t>
      </w:r>
      <w:r>
        <w:rPr>
          <w:spacing w:val="34"/>
        </w:rPr>
        <w:t> </w:t>
      </w:r>
      <w:r>
        <w:rPr/>
        <w:t>necessary</w:t>
      </w:r>
      <w:r>
        <w:rPr>
          <w:spacing w:val="33"/>
        </w:rPr>
        <w:t> </w:t>
      </w:r>
      <w:r>
        <w:rPr/>
        <w:t>for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plaintiff</w:t>
      </w:r>
      <w:r>
        <w:rPr>
          <w:spacing w:val="34"/>
        </w:rPr>
        <w:t> </w:t>
      </w:r>
      <w:r>
        <w:rPr/>
        <w:t>to</w:t>
      </w:r>
      <w:r>
        <w:rPr>
          <w:spacing w:val="36"/>
        </w:rPr>
        <w:t> </w:t>
      </w:r>
      <w:r>
        <w:rPr/>
        <w:t>prove</w:t>
      </w:r>
      <w:r>
        <w:rPr>
          <w:spacing w:val="34"/>
        </w:rPr>
        <w:t> </w:t>
      </w:r>
      <w:r>
        <w:rPr/>
        <w:t>if</w:t>
      </w:r>
      <w:r>
        <w:rPr>
          <w:spacing w:val="37"/>
        </w:rPr>
        <w:t> </w:t>
      </w:r>
      <w:r>
        <w:rPr/>
        <w:t>traversed</w:t>
      </w:r>
      <w:r>
        <w:rPr>
          <w:spacing w:val="37"/>
        </w:rPr>
        <w:t> </w:t>
      </w:r>
      <w:r>
        <w:rPr/>
        <w:t>in</w:t>
      </w:r>
      <w:r>
        <w:rPr>
          <w:spacing w:val="-57"/>
        </w:rPr>
        <w:t> </w:t>
      </w:r>
      <w:r>
        <w:rPr/>
        <w:t>order</w:t>
      </w:r>
      <w:r>
        <w:rPr>
          <w:spacing w:val="-1"/>
        </w:rPr>
        <w:t> </w:t>
      </w:r>
      <w:r>
        <w:rPr/>
        <w:t>to support his</w:t>
      </w:r>
      <w:r>
        <w:rPr>
          <w:spacing w:val="-1"/>
        </w:rPr>
        <w:t> </w:t>
      </w:r>
      <w:r>
        <w:rPr/>
        <w:t>right to</w:t>
      </w:r>
      <w:r>
        <w:rPr>
          <w:spacing w:val="-1"/>
        </w:rPr>
        <w:t> </w:t>
      </w:r>
      <w:r>
        <w:rPr/>
        <w:t>the judgment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court.”</w:t>
      </w:r>
    </w:p>
    <w:p>
      <w:pPr>
        <w:pStyle w:val="BodyText"/>
        <w:spacing w:line="360" w:lineRule="auto" w:before="163"/>
        <w:ind w:left="100" w:right="114" w:firstLine="719"/>
        <w:jc w:val="both"/>
      </w:pPr>
      <w:r>
        <w:rPr/>
        <w:t>Following, the definitions above, the applicant submits that the plaintiff‟s summons,</w:t>
      </w:r>
      <w:r>
        <w:rPr>
          <w:spacing w:val="1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respondent herein, only contains the relief being sought and is bereft of a true and concise</w:t>
      </w:r>
      <w:r>
        <w:rPr>
          <w:spacing w:val="1"/>
          <w:vertAlign w:val="baseline"/>
        </w:rPr>
        <w:t> </w:t>
      </w:r>
      <w:r>
        <w:rPr>
          <w:vertAlign w:val="baseline"/>
        </w:rPr>
        <w:t>statement</w:t>
      </w:r>
      <w:r>
        <w:rPr>
          <w:spacing w:val="9"/>
          <w:vertAlign w:val="baseline"/>
        </w:rPr>
        <w:t> </w:t>
      </w:r>
      <w:r>
        <w:rPr>
          <w:vertAlign w:val="baseline"/>
        </w:rPr>
        <w:t>of</w:t>
      </w:r>
      <w:r>
        <w:rPr>
          <w:spacing w:val="8"/>
          <w:vertAlign w:val="baseline"/>
        </w:rPr>
        <w:t> </w:t>
      </w:r>
      <w:r>
        <w:rPr>
          <w:vertAlign w:val="baseline"/>
        </w:rPr>
        <w:t>the</w:t>
      </w:r>
      <w:r>
        <w:rPr>
          <w:spacing w:val="8"/>
          <w:vertAlign w:val="baseline"/>
        </w:rPr>
        <w:t> </w:t>
      </w:r>
      <w:r>
        <w:rPr>
          <w:vertAlign w:val="baseline"/>
        </w:rPr>
        <w:t>nature,</w:t>
      </w:r>
      <w:r>
        <w:rPr>
          <w:spacing w:val="11"/>
          <w:vertAlign w:val="baseline"/>
        </w:rPr>
        <w:t> </w:t>
      </w:r>
      <w:r>
        <w:rPr>
          <w:vertAlign w:val="baseline"/>
        </w:rPr>
        <w:t>extent</w:t>
      </w:r>
      <w:r>
        <w:rPr>
          <w:spacing w:val="9"/>
          <w:vertAlign w:val="baseline"/>
        </w:rPr>
        <w:t> </w:t>
      </w:r>
      <w:r>
        <w:rPr>
          <w:vertAlign w:val="baseline"/>
        </w:rPr>
        <w:t>and</w:t>
      </w:r>
      <w:r>
        <w:rPr>
          <w:spacing w:val="10"/>
          <w:vertAlign w:val="baseline"/>
        </w:rPr>
        <w:t> </w:t>
      </w:r>
      <w:r>
        <w:rPr>
          <w:vertAlign w:val="baseline"/>
        </w:rPr>
        <w:t>ground</w:t>
      </w:r>
      <w:r>
        <w:rPr>
          <w:spacing w:val="8"/>
          <w:vertAlign w:val="baseline"/>
        </w:rPr>
        <w:t> </w:t>
      </w:r>
      <w:r>
        <w:rPr>
          <w:vertAlign w:val="baseline"/>
        </w:rPr>
        <w:t>of</w:t>
      </w:r>
      <w:r>
        <w:rPr>
          <w:spacing w:val="8"/>
          <w:vertAlign w:val="baseline"/>
        </w:rPr>
        <w:t> </w:t>
      </w:r>
      <w:r>
        <w:rPr>
          <w:vertAlign w:val="baseline"/>
        </w:rPr>
        <w:t>the</w:t>
      </w:r>
      <w:r>
        <w:rPr>
          <w:spacing w:val="11"/>
          <w:vertAlign w:val="baseline"/>
        </w:rPr>
        <w:t> </w:t>
      </w:r>
      <w:r>
        <w:rPr>
          <w:vertAlign w:val="baseline"/>
        </w:rPr>
        <w:t>cause</w:t>
      </w:r>
      <w:r>
        <w:rPr>
          <w:spacing w:val="8"/>
          <w:vertAlign w:val="baseline"/>
        </w:rPr>
        <w:t> </w:t>
      </w:r>
      <w:r>
        <w:rPr>
          <w:vertAlign w:val="baseline"/>
        </w:rPr>
        <w:t>of</w:t>
      </w:r>
      <w:r>
        <w:rPr>
          <w:spacing w:val="11"/>
          <w:vertAlign w:val="baseline"/>
        </w:rPr>
        <w:t> </w:t>
      </w:r>
      <w:r>
        <w:rPr>
          <w:vertAlign w:val="baseline"/>
        </w:rPr>
        <w:t>action</w:t>
      </w:r>
      <w:r>
        <w:rPr>
          <w:spacing w:val="10"/>
          <w:vertAlign w:val="baseline"/>
        </w:rPr>
        <w:t> </w:t>
      </w:r>
      <w:r>
        <w:rPr>
          <w:vertAlign w:val="baseline"/>
        </w:rPr>
        <w:t>as</w:t>
      </w:r>
      <w:r>
        <w:rPr>
          <w:spacing w:val="9"/>
          <w:vertAlign w:val="baseline"/>
        </w:rPr>
        <w:t> </w:t>
      </w:r>
      <w:r>
        <w:rPr>
          <w:vertAlign w:val="baseline"/>
        </w:rPr>
        <w:t>mandated</w:t>
      </w:r>
      <w:r>
        <w:rPr>
          <w:spacing w:val="8"/>
          <w:vertAlign w:val="baseline"/>
        </w:rPr>
        <w:t> </w:t>
      </w:r>
      <w:r>
        <w:rPr>
          <w:vertAlign w:val="baseline"/>
        </w:rPr>
        <w:t>by</w:t>
      </w:r>
      <w:r>
        <w:rPr>
          <w:spacing w:val="4"/>
          <w:vertAlign w:val="baseline"/>
        </w:rPr>
        <w:t> </w:t>
      </w:r>
      <w:r>
        <w:rPr>
          <w:vertAlign w:val="baseline"/>
        </w:rPr>
        <w:t>Rule</w:t>
      </w:r>
      <w:r>
        <w:rPr>
          <w:spacing w:val="8"/>
          <w:vertAlign w:val="baseline"/>
        </w:rPr>
        <w:t> </w:t>
      </w:r>
      <w:r>
        <w:rPr>
          <w:vertAlign w:val="baseline"/>
        </w:rPr>
        <w:t>12</w:t>
      </w:r>
      <w:r>
        <w:rPr>
          <w:spacing w:val="9"/>
          <w:vertAlign w:val="baseline"/>
        </w:rPr>
        <w:t> </w:t>
      </w:r>
      <w:r>
        <w:rPr>
          <w:vertAlign w:val="baseline"/>
        </w:rPr>
        <w:t>(5)</w:t>
      </w:r>
    </w:p>
    <w:p>
      <w:pPr>
        <w:pStyle w:val="BodyText"/>
        <w:spacing w:before="1"/>
        <w:ind w:left="100"/>
        <w:jc w:val="both"/>
      </w:pPr>
      <w:r>
        <w:rPr/>
        <w:t>(d)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</w:t>
      </w:r>
      <w:r>
        <w:rPr/>
        <w:t>Court Rules 2021.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20"/>
        <w:jc w:val="both"/>
      </w:pPr>
      <w:r>
        <w:rPr/>
        <w:t>Rule</w:t>
      </w:r>
      <w:r>
        <w:rPr>
          <w:spacing w:val="-1"/>
        </w:rPr>
        <w:t> </w:t>
      </w:r>
      <w:r>
        <w:rPr/>
        <w:t>12 (5)</w:t>
      </w:r>
      <w:r>
        <w:rPr>
          <w:spacing w:val="-1"/>
        </w:rPr>
        <w:t> </w:t>
      </w:r>
      <w:r>
        <w:rPr/>
        <w:t>(d)</w:t>
      </w:r>
      <w:r>
        <w:rPr>
          <w:spacing w:val="-2"/>
        </w:rPr>
        <w:t> </w:t>
      </w:r>
      <w:r>
        <w:rPr/>
        <w:t>is couched as follows: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820"/>
      </w:pPr>
      <w:r>
        <w:rPr/>
        <w:t>“(5)</w:t>
      </w:r>
      <w:r>
        <w:rPr>
          <w:spacing w:val="-1"/>
        </w:rPr>
        <w:t> </w:t>
      </w:r>
      <w:r>
        <w:rPr/>
        <w:t>Before</w:t>
      </w:r>
      <w:r>
        <w:rPr>
          <w:spacing w:val="-3"/>
        </w:rPr>
        <w:t> </w:t>
      </w:r>
      <w:r>
        <w:rPr/>
        <w:t>issue,</w:t>
      </w:r>
      <w:r>
        <w:rPr>
          <w:spacing w:val="1"/>
        </w:rPr>
        <w:t> </w:t>
      </w:r>
      <w:r>
        <w:rPr/>
        <w:t>every</w:t>
      </w:r>
      <w:r>
        <w:rPr>
          <w:spacing w:val="-6"/>
        </w:rPr>
        <w:t> </w:t>
      </w:r>
      <w:r>
        <w:rPr/>
        <w:t>summons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set forth:</w:t>
      </w:r>
    </w:p>
    <w:p>
      <w:pPr>
        <w:pStyle w:val="BodyText"/>
        <w:ind w:left="820"/>
      </w:pPr>
      <w:r>
        <w:rPr/>
        <w:t>a)………….</w:t>
      </w:r>
    </w:p>
    <w:p>
      <w:pPr>
        <w:pStyle w:val="BodyText"/>
        <w:ind w:left="820"/>
      </w:pPr>
      <w:r>
        <w:rPr/>
        <w:t>b)…………</w:t>
      </w:r>
    </w:p>
    <w:p>
      <w:pPr>
        <w:pStyle w:val="BodyText"/>
        <w:ind w:left="820"/>
      </w:pPr>
      <w:r>
        <w:rPr/>
        <w:t>c)…………</w:t>
      </w:r>
    </w:p>
    <w:p>
      <w:pPr>
        <w:pStyle w:val="BodyText"/>
        <w:ind w:left="820" w:right="126"/>
      </w:pPr>
      <w:r>
        <w:rPr/>
        <w:t>d)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true</w:t>
      </w:r>
      <w:r>
        <w:rPr>
          <w:spacing w:val="13"/>
        </w:rPr>
        <w:t> </w:t>
      </w:r>
      <w:r>
        <w:rPr/>
        <w:t>and</w:t>
      </w:r>
      <w:r>
        <w:rPr>
          <w:spacing w:val="16"/>
        </w:rPr>
        <w:t> </w:t>
      </w:r>
      <w:r>
        <w:rPr/>
        <w:t>concise</w:t>
      </w:r>
      <w:r>
        <w:rPr>
          <w:spacing w:val="13"/>
        </w:rPr>
        <w:t> </w:t>
      </w:r>
      <w:r>
        <w:rPr/>
        <w:t>statement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nature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grounds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cause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action</w:t>
      </w:r>
      <w:r>
        <w:rPr>
          <w:spacing w:val="13"/>
        </w:rPr>
        <w:t> </w:t>
      </w:r>
      <w:r>
        <w:rPr/>
        <w:t>and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the relief or remedies</w:t>
      </w:r>
      <w:r>
        <w:rPr>
          <w:spacing w:val="1"/>
        </w:rPr>
        <w:t> </w:t>
      </w:r>
      <w:r>
        <w:rPr/>
        <w:t>sought in the action”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Further,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examination,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1"/>
          <w:vertAlign w:val="baseline"/>
        </w:rPr>
        <w:t> </w:t>
      </w:r>
      <w:r>
        <w:rPr>
          <w:vertAlign w:val="baseline"/>
        </w:rPr>
        <w:t>respondents</w:t>
      </w:r>
      <w:r>
        <w:rPr>
          <w:spacing w:val="-1"/>
          <w:vertAlign w:val="baseline"/>
        </w:rPr>
        <w:t> </w:t>
      </w:r>
      <w:r>
        <w:rPr>
          <w:vertAlign w:val="baseline"/>
        </w:rPr>
        <w:t>summons</w:t>
      </w:r>
      <w:r>
        <w:rPr>
          <w:spacing w:val="-1"/>
          <w:vertAlign w:val="baseline"/>
        </w:rPr>
        <w:t> </w:t>
      </w:r>
      <w:r>
        <w:rPr>
          <w:vertAlign w:val="baseline"/>
        </w:rPr>
        <w:t>reads</w:t>
      </w:r>
      <w:r>
        <w:rPr>
          <w:spacing w:val="-1"/>
          <w:vertAlign w:val="baseline"/>
        </w:rPr>
        <w:t> </w:t>
      </w:r>
      <w:r>
        <w:rPr>
          <w:vertAlign w:val="baseline"/>
        </w:rPr>
        <w:t>as follows: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820"/>
      </w:pPr>
      <w:r>
        <w:rPr/>
        <w:t>“The</w:t>
      </w:r>
      <w:r>
        <w:rPr>
          <w:spacing w:val="-4"/>
        </w:rPr>
        <w:t> </w:t>
      </w:r>
      <w:r>
        <w:rPr/>
        <w:t>plaintiff</w:t>
      </w:r>
      <w:r>
        <w:rPr>
          <w:spacing w:val="-2"/>
        </w:rPr>
        <w:t> </w:t>
      </w:r>
      <w:r>
        <w:rPr/>
        <w:t>named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instituted</w:t>
      </w:r>
      <w:r>
        <w:rPr>
          <w:spacing w:val="-1"/>
        </w:rPr>
        <w:t> </w:t>
      </w:r>
      <w:r>
        <w:rPr/>
        <w:t>proceedings</w:t>
      </w:r>
      <w:r>
        <w:rPr>
          <w:spacing w:val="-1"/>
        </w:rPr>
        <w:t> </w:t>
      </w:r>
      <w:r>
        <w:rPr/>
        <w:t>against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claiming;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160" w:after="0"/>
        <w:ind w:left="1180" w:right="116" w:hanging="360"/>
        <w:jc w:val="both"/>
        <w:rPr>
          <w:sz w:val="24"/>
        </w:rPr>
      </w:pPr>
      <w:r>
        <w:rPr>
          <w:sz w:val="24"/>
        </w:rPr>
        <w:t>An order declaring the</w:t>
      </w:r>
      <w:r>
        <w:rPr>
          <w:spacing w:val="1"/>
          <w:sz w:val="24"/>
        </w:rPr>
        <w:t> </w:t>
      </w:r>
      <w:r>
        <w:rPr>
          <w:sz w:val="24"/>
        </w:rPr>
        <w:t>plaintiff to be the lawful</w:t>
      </w:r>
      <w:r>
        <w:rPr>
          <w:spacing w:val="60"/>
          <w:sz w:val="24"/>
        </w:rPr>
        <w:t> </w:t>
      </w:r>
      <w:r>
        <w:rPr>
          <w:sz w:val="24"/>
        </w:rPr>
        <w:t>and right holder of rights, tittle</w:t>
      </w:r>
      <w:r>
        <w:rPr>
          <w:spacing w:val="1"/>
          <w:sz w:val="24"/>
        </w:rPr>
        <w:t> </w:t>
      </w:r>
      <w:r>
        <w:rPr>
          <w:sz w:val="24"/>
        </w:rPr>
        <w:t>and interest to land known as subdivision 32 of Aryshire</w:t>
      </w:r>
      <w:r>
        <w:rPr>
          <w:spacing w:val="60"/>
          <w:sz w:val="24"/>
        </w:rPr>
        <w:t> </w:t>
      </w:r>
      <w:r>
        <w:rPr>
          <w:sz w:val="24"/>
        </w:rPr>
        <w:t>A Lot 1 situate in</w:t>
      </w:r>
      <w:r>
        <w:rPr>
          <w:spacing w:val="1"/>
          <w:sz w:val="24"/>
        </w:rPr>
        <w:t> </w:t>
      </w:r>
      <w:r>
        <w:rPr>
          <w:sz w:val="24"/>
        </w:rPr>
        <w:t>Zvimba</w:t>
      </w:r>
      <w:r>
        <w:rPr>
          <w:spacing w:val="1"/>
          <w:sz w:val="24"/>
        </w:rPr>
        <w:t> </w:t>
      </w:r>
      <w:r>
        <w:rPr>
          <w:sz w:val="24"/>
        </w:rPr>
        <w:t>District of Mashonaland West Province</w:t>
      </w:r>
      <w:r>
        <w:rPr>
          <w:spacing w:val="1"/>
          <w:sz w:val="24"/>
        </w:rPr>
        <w:t> </w:t>
      </w:r>
      <w:r>
        <w:rPr>
          <w:sz w:val="24"/>
        </w:rPr>
        <w:t>measuring approximately 67</w:t>
      </w:r>
      <w:r>
        <w:rPr>
          <w:spacing w:val="6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75</w:t>
      </w:r>
      <w:r>
        <w:rPr>
          <w:spacing w:val="-1"/>
          <w:sz w:val="24"/>
        </w:rPr>
        <w:t> </w:t>
      </w:r>
      <w:r>
        <w:rPr>
          <w:sz w:val="24"/>
        </w:rPr>
        <w:t>hectares</w:t>
      </w:r>
      <w:r>
        <w:rPr>
          <w:spacing w:val="1"/>
          <w:sz w:val="24"/>
        </w:rPr>
        <w:t> </w:t>
      </w:r>
      <w:r>
        <w:rPr>
          <w:sz w:val="24"/>
        </w:rPr>
        <w:t>in extent (hereinafter</w:t>
      </w:r>
      <w:r>
        <w:rPr>
          <w:spacing w:val="-1"/>
          <w:sz w:val="24"/>
        </w:rPr>
        <w:t> </w:t>
      </w:r>
      <w:r>
        <w:rPr>
          <w:sz w:val="24"/>
        </w:rPr>
        <w:t>called the disputed</w:t>
      </w:r>
      <w:r>
        <w:rPr>
          <w:spacing w:val="1"/>
          <w:sz w:val="24"/>
        </w:rPr>
        <w:t> </w:t>
      </w:r>
      <w:r>
        <w:rPr>
          <w:sz w:val="24"/>
        </w:rPr>
        <w:t>farm).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121" w:hanging="360"/>
        <w:jc w:val="both"/>
        <w:rPr>
          <w:sz w:val="24"/>
        </w:rPr>
      </w:pPr>
      <w:r>
        <w:rPr>
          <w:sz w:val="24"/>
        </w:rPr>
        <w:t>An order declaring the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defendant to be in unlawful and illegal occupation of the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disputed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farm.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121" w:hanging="360"/>
        <w:jc w:val="both"/>
        <w:rPr>
          <w:sz w:val="24"/>
        </w:rPr>
      </w:pPr>
      <w:r>
        <w:rPr>
          <w:sz w:val="24"/>
        </w:rPr>
        <w:t>Eviction of the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defendant and all those claiming occupation through him from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disputed farm</w:t>
      </w:r>
    </w:p>
    <w:p>
      <w:pPr>
        <w:pStyle w:val="ListParagraph"/>
        <w:numPr>
          <w:ilvl w:val="0"/>
          <w:numId w:val="2"/>
        </w:numPr>
        <w:tabs>
          <w:tab w:pos="1181" w:val="left" w:leader="none"/>
        </w:tabs>
        <w:spacing w:line="240" w:lineRule="auto" w:before="1" w:after="0"/>
        <w:ind w:left="1180" w:right="0" w:hanging="361"/>
        <w:jc w:val="both"/>
        <w:rPr>
          <w:sz w:val="24"/>
        </w:rPr>
      </w:pPr>
      <w:r>
        <w:rPr>
          <w:sz w:val="24"/>
        </w:rPr>
        <w:t>Costs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suit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defendant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higher scale.”</w:t>
      </w:r>
    </w:p>
    <w:p>
      <w:pPr>
        <w:pStyle w:val="BodyText"/>
        <w:spacing w:line="360" w:lineRule="auto" w:before="160"/>
        <w:ind w:left="100" w:right="119" w:firstLine="719"/>
        <w:jc w:val="both"/>
      </w:pPr>
      <w:r>
        <w:rPr/>
        <w:t>It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rocket</w:t>
      </w:r>
      <w:r>
        <w:rPr>
          <w:spacing w:val="1"/>
        </w:rPr>
        <w:t> </w:t>
      </w:r>
      <w:r>
        <w:rPr/>
        <w:t>scientist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discern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summons</w:t>
      </w:r>
      <w:r>
        <w:rPr>
          <w:spacing w:val="1"/>
        </w:rPr>
        <w:t> </w:t>
      </w:r>
      <w:r>
        <w:rPr/>
        <w:t>filed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57"/>
          <w:vertAlign w:val="baseline"/>
        </w:rPr>
        <w:t> </w:t>
      </w:r>
      <w:r>
        <w:rPr>
          <w:vertAlign w:val="baseline"/>
        </w:rPr>
        <w:t>respondent</w:t>
      </w:r>
      <w:r>
        <w:rPr>
          <w:spacing w:val="18"/>
          <w:vertAlign w:val="baseline"/>
        </w:rPr>
        <w:t> </w:t>
      </w:r>
      <w:r>
        <w:rPr>
          <w:vertAlign w:val="baseline"/>
        </w:rPr>
        <w:t>as</w:t>
      </w:r>
      <w:r>
        <w:rPr>
          <w:spacing w:val="18"/>
          <w:vertAlign w:val="baseline"/>
        </w:rPr>
        <w:t> </w:t>
      </w:r>
      <w:r>
        <w:rPr>
          <w:vertAlign w:val="baseline"/>
        </w:rPr>
        <w:t>the</w:t>
      </w:r>
      <w:r>
        <w:rPr>
          <w:spacing w:val="18"/>
          <w:vertAlign w:val="baseline"/>
        </w:rPr>
        <w:t> </w:t>
      </w:r>
      <w:r>
        <w:rPr>
          <w:vertAlign w:val="baseline"/>
        </w:rPr>
        <w:t>plaintiff</w:t>
      </w:r>
      <w:r>
        <w:rPr>
          <w:spacing w:val="16"/>
          <w:vertAlign w:val="baseline"/>
        </w:rPr>
        <w:t> </w:t>
      </w:r>
      <w:r>
        <w:rPr>
          <w:vertAlign w:val="baseline"/>
        </w:rPr>
        <w:t>in</w:t>
      </w:r>
      <w:r>
        <w:rPr>
          <w:spacing w:val="19"/>
          <w:vertAlign w:val="baseline"/>
        </w:rPr>
        <w:t> </w:t>
      </w:r>
      <w:r>
        <w:rPr>
          <w:vertAlign w:val="baseline"/>
        </w:rPr>
        <w:t>case</w:t>
      </w:r>
      <w:r>
        <w:rPr>
          <w:spacing w:val="17"/>
          <w:vertAlign w:val="baseline"/>
        </w:rPr>
        <w:t> </w:t>
      </w:r>
      <w:r>
        <w:rPr>
          <w:vertAlign w:val="baseline"/>
        </w:rPr>
        <w:t>HC</w:t>
      </w:r>
      <w:r>
        <w:rPr>
          <w:spacing w:val="21"/>
          <w:vertAlign w:val="baseline"/>
        </w:rPr>
        <w:t> </w:t>
      </w:r>
      <w:r>
        <w:rPr>
          <w:vertAlign w:val="baseline"/>
        </w:rPr>
        <w:t>221/23,</w:t>
      </w:r>
      <w:r>
        <w:rPr>
          <w:spacing w:val="18"/>
          <w:vertAlign w:val="baseline"/>
        </w:rPr>
        <w:t> </w:t>
      </w:r>
      <w:r>
        <w:rPr>
          <w:vertAlign w:val="baseline"/>
        </w:rPr>
        <w:t>only</w:t>
      </w:r>
      <w:r>
        <w:rPr>
          <w:spacing w:val="14"/>
          <w:vertAlign w:val="baseline"/>
        </w:rPr>
        <w:t> </w:t>
      </w:r>
      <w:r>
        <w:rPr>
          <w:vertAlign w:val="baseline"/>
        </w:rPr>
        <w:t>has</w:t>
      </w:r>
      <w:r>
        <w:rPr>
          <w:spacing w:val="18"/>
          <w:vertAlign w:val="baseline"/>
        </w:rPr>
        <w:t> </w:t>
      </w:r>
      <w:r>
        <w:rPr>
          <w:vertAlign w:val="baseline"/>
        </w:rPr>
        <w:t>the</w:t>
      </w:r>
      <w:r>
        <w:rPr>
          <w:spacing w:val="18"/>
          <w:vertAlign w:val="baseline"/>
        </w:rPr>
        <w:t> </w:t>
      </w:r>
      <w:r>
        <w:rPr>
          <w:vertAlign w:val="baseline"/>
        </w:rPr>
        <w:t>relief</w:t>
      </w:r>
      <w:r>
        <w:rPr>
          <w:spacing w:val="17"/>
          <w:vertAlign w:val="baseline"/>
        </w:rPr>
        <w:t> </w:t>
      </w:r>
      <w:r>
        <w:rPr>
          <w:vertAlign w:val="baseline"/>
        </w:rPr>
        <w:t>sought</w:t>
      </w:r>
      <w:r>
        <w:rPr>
          <w:spacing w:val="19"/>
          <w:vertAlign w:val="baseline"/>
        </w:rPr>
        <w:t> </w:t>
      </w:r>
      <w:r>
        <w:rPr>
          <w:vertAlign w:val="baseline"/>
        </w:rPr>
        <w:t>on</w:t>
      </w:r>
      <w:r>
        <w:rPr>
          <w:spacing w:val="17"/>
          <w:vertAlign w:val="baseline"/>
        </w:rPr>
        <w:t> </w:t>
      </w:r>
      <w:r>
        <w:rPr>
          <w:vertAlign w:val="baseline"/>
        </w:rPr>
        <w:t>its</w:t>
      </w:r>
      <w:r>
        <w:rPr>
          <w:spacing w:val="18"/>
          <w:vertAlign w:val="baseline"/>
        </w:rPr>
        <w:t> </w:t>
      </w:r>
      <w:r>
        <w:rPr>
          <w:vertAlign w:val="baseline"/>
        </w:rPr>
        <w:t>face</w:t>
      </w:r>
      <w:r>
        <w:rPr>
          <w:spacing w:val="18"/>
          <w:vertAlign w:val="baseline"/>
        </w:rPr>
        <w:t> </w:t>
      </w:r>
      <w:r>
        <w:rPr>
          <w:vertAlign w:val="baseline"/>
        </w:rPr>
        <w:t>and</w:t>
      </w:r>
      <w:r>
        <w:rPr>
          <w:spacing w:val="17"/>
          <w:vertAlign w:val="baseline"/>
        </w:rPr>
        <w:t> </w:t>
      </w:r>
      <w:r>
        <w:rPr>
          <w:vertAlign w:val="baseline"/>
        </w:rPr>
        <w:t>not</w:t>
      </w:r>
      <w:r>
        <w:rPr>
          <w:spacing w:val="-57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claim.</w:t>
      </w:r>
    </w:p>
    <w:p>
      <w:pPr>
        <w:pStyle w:val="BodyText"/>
        <w:spacing w:line="360" w:lineRule="auto" w:before="161"/>
        <w:ind w:left="100" w:right="117" w:firstLine="719"/>
        <w:jc w:val="both"/>
      </w:pPr>
      <w:r>
        <w:rPr/>
        <w:t>The applicants are correct in their observations. It is evident that two set of rules</w:t>
      </w:r>
      <w:r>
        <w:rPr>
          <w:spacing w:val="1"/>
        </w:rPr>
        <w:t> </w:t>
      </w:r>
      <w:r>
        <w:rPr/>
        <w:t>governs the summons as well as the attendant declaration. Rule 13 is devoted to all what is</w:t>
      </w:r>
      <w:r>
        <w:rPr>
          <w:spacing w:val="1"/>
        </w:rPr>
        <w:t> </w:t>
      </w:r>
      <w:r>
        <w:rPr/>
        <w:t>required of a declaration. This is for a purpose. It means the summons though it should be</w:t>
      </w:r>
      <w:r>
        <w:rPr>
          <w:spacing w:val="1"/>
        </w:rPr>
        <w:t> </w:t>
      </w:r>
      <w:r>
        <w:rPr/>
        <w:t>accompanied by a declaration or particulars of claim in the lower court, should bear a precise</w:t>
      </w:r>
      <w:r>
        <w:rPr>
          <w:spacing w:val="1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on the cause</w:t>
      </w:r>
      <w:r>
        <w:rPr>
          <w:spacing w:val="-1"/>
        </w:rPr>
        <w:t> </w:t>
      </w:r>
      <w:r>
        <w:rPr/>
        <w:t>action as well as the</w:t>
      </w:r>
      <w:r>
        <w:rPr>
          <w:spacing w:val="-2"/>
        </w:rPr>
        <w:t> </w:t>
      </w:r>
      <w:r>
        <w:rPr/>
        <w:t>relief sought.</w:t>
      </w:r>
    </w:p>
    <w:p>
      <w:pPr>
        <w:pStyle w:val="BodyText"/>
        <w:spacing w:line="360" w:lineRule="auto" w:before="160"/>
        <w:ind w:left="100" w:right="115" w:firstLine="719"/>
        <w:jc w:val="both"/>
      </w:pPr>
      <w:r>
        <w:rPr/>
        <w:t>Nonetheless, does this vitiate the summons and nullify or make them fatally defective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urged</w:t>
      </w:r>
      <w:r>
        <w:rPr>
          <w:spacing w:val="1"/>
        </w:rPr>
        <w:t> </w:t>
      </w:r>
      <w:r>
        <w:rPr/>
        <w:t>by the applicants?</w:t>
      </w:r>
      <w:r>
        <w:rPr>
          <w:spacing w:val="1"/>
        </w:rPr>
        <w:t> </w:t>
      </w:r>
      <w:r>
        <w:rPr/>
        <w:t>Fatally defective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 pleading in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redemption.</w:t>
      </w:r>
      <w:r>
        <w:rPr>
          <w:spacing w:val="23"/>
        </w:rPr>
        <w:t> </w:t>
      </w:r>
      <w:r>
        <w:rPr/>
        <w:t>Nothing</w:t>
      </w:r>
      <w:r>
        <w:rPr>
          <w:spacing w:val="22"/>
        </w:rPr>
        <w:t> </w:t>
      </w:r>
      <w:r>
        <w:rPr/>
        <w:t>can</w:t>
      </w:r>
      <w:r>
        <w:rPr>
          <w:spacing w:val="24"/>
        </w:rPr>
        <w:t> </w:t>
      </w:r>
      <w:r>
        <w:rPr/>
        <w:t>be</w:t>
      </w:r>
      <w:r>
        <w:rPr>
          <w:spacing w:val="27"/>
        </w:rPr>
        <w:t> </w:t>
      </w:r>
      <w:r>
        <w:rPr/>
        <w:t>resuscitated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salvaged</w:t>
      </w:r>
      <w:r>
        <w:rPr>
          <w:spacing w:val="25"/>
        </w:rPr>
        <w:t> </w:t>
      </w:r>
      <w:r>
        <w:rPr/>
        <w:t>from</w:t>
      </w:r>
      <w:r>
        <w:rPr>
          <w:spacing w:val="25"/>
        </w:rPr>
        <w:t> </w:t>
      </w:r>
      <w:r>
        <w:rPr/>
        <w:t>it.</w:t>
      </w:r>
      <w:r>
        <w:rPr>
          <w:spacing w:val="25"/>
        </w:rPr>
        <w:t> </w:t>
      </w:r>
      <w:r>
        <w:rPr/>
        <w:t>I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not</w:t>
      </w:r>
      <w:r>
        <w:rPr>
          <w:spacing w:val="23"/>
        </w:rPr>
        <w:t> </w:t>
      </w:r>
      <w:r>
        <w:rPr/>
        <w:t>think</w:t>
      </w:r>
      <w:r>
        <w:rPr>
          <w:spacing w:val="23"/>
        </w:rPr>
        <w:t> </w:t>
      </w:r>
      <w:r>
        <w:rPr/>
        <w:t>this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case</w:t>
      </w:r>
    </w:p>
    <w:p>
      <w:pPr>
        <w:spacing w:after="0" w:line="360" w:lineRule="auto"/>
        <w:jc w:val="both"/>
        <w:sectPr>
          <w:pgSz w:w="11910" w:h="16840"/>
          <w:pgMar w:header="749" w:footer="0" w:top="1760" w:bottom="280" w:left="1340" w:right="13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60" w:lineRule="auto" w:before="90"/>
        <w:ind w:left="100" w:right="118"/>
        <w:jc w:val="both"/>
      </w:pPr>
      <w:r>
        <w:rPr/>
        <w:t>here. Why? It is because at the end of the day the summons moves hand in glove with its</w:t>
      </w:r>
      <w:r>
        <w:rPr>
          <w:spacing w:val="1"/>
        </w:rPr>
        <w:t> </w:t>
      </w:r>
      <w:r>
        <w:rPr/>
        <w:t>declaration although separately provided for in the rules. As such, in the circumstances of this</w:t>
      </w:r>
      <w:r>
        <w:rPr>
          <w:spacing w:val="-57"/>
        </w:rPr>
        <w:t> </w:t>
      </w:r>
      <w:r>
        <w:rPr/>
        <w:t>case the declaration clearly spells out the cause of action. A perusal of the declaration shows</w:t>
      </w:r>
      <w:r>
        <w:rPr>
          <w:spacing w:val="1"/>
        </w:rPr>
        <w:t> </w:t>
      </w:r>
      <w:r>
        <w:rPr/>
        <w:t>that the cause of action was clearly explained. A combination of the two does not leave the</w:t>
      </w:r>
      <w:r>
        <w:rPr>
          <w:spacing w:val="1"/>
        </w:rPr>
        <w:t> </w:t>
      </w:r>
      <w:r>
        <w:rPr/>
        <w:t>recipient</w:t>
      </w:r>
      <w:r>
        <w:rPr>
          <w:spacing w:val="-1"/>
        </w:rPr>
        <w:t> </w:t>
      </w:r>
      <w:r>
        <w:rPr/>
        <w:t>lost as to what the</w:t>
      </w:r>
      <w:r>
        <w:rPr>
          <w:spacing w:val="-1"/>
        </w:rPr>
        <w:t> </w:t>
      </w:r>
      <w:r>
        <w:rPr/>
        <w:t>cause of action is.</w:t>
      </w:r>
    </w:p>
    <w:p>
      <w:pPr>
        <w:pStyle w:val="BodyText"/>
        <w:spacing w:line="360" w:lineRule="auto" w:before="162"/>
        <w:ind w:left="100" w:right="116" w:firstLine="719"/>
        <w:jc w:val="both"/>
      </w:pPr>
      <w:r>
        <w:rPr/>
        <w:t>I</w:t>
      </w:r>
      <w:r>
        <w:rPr>
          <w:spacing w:val="14"/>
        </w:rPr>
        <w:t> </w:t>
      </w:r>
      <w:r>
        <w:rPr/>
        <w:t>agree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17"/>
          <w:vertAlign w:val="baseline"/>
        </w:rPr>
        <w:t> </w:t>
      </w:r>
      <w:r>
        <w:rPr>
          <w:vertAlign w:val="baseline"/>
        </w:rPr>
        <w:t>respondents</w:t>
      </w:r>
      <w:r>
        <w:rPr>
          <w:spacing w:val="16"/>
          <w:vertAlign w:val="baseline"/>
        </w:rPr>
        <w:t> </w:t>
      </w:r>
      <w:r>
        <w:rPr>
          <w:vertAlign w:val="baseline"/>
        </w:rPr>
        <w:t>that</w:t>
      </w:r>
      <w:r>
        <w:rPr>
          <w:spacing w:val="16"/>
          <w:vertAlign w:val="baseline"/>
        </w:rPr>
        <w:t> </w:t>
      </w:r>
      <w:r>
        <w:rPr>
          <w:vertAlign w:val="baseline"/>
        </w:rPr>
        <w:t>though</w:t>
      </w:r>
      <w:r>
        <w:rPr>
          <w:spacing w:val="16"/>
          <w:vertAlign w:val="baseline"/>
        </w:rPr>
        <w:t> </w:t>
      </w:r>
      <w:r>
        <w:rPr>
          <w:vertAlign w:val="baseline"/>
        </w:rPr>
        <w:t>there</w:t>
      </w:r>
      <w:r>
        <w:rPr>
          <w:spacing w:val="16"/>
          <w:vertAlign w:val="baseline"/>
        </w:rPr>
        <w:t> </w:t>
      </w:r>
      <w:r>
        <w:rPr>
          <w:vertAlign w:val="baseline"/>
        </w:rPr>
        <w:t>is</w:t>
      </w:r>
      <w:r>
        <w:rPr>
          <w:spacing w:val="17"/>
          <w:vertAlign w:val="baseline"/>
        </w:rPr>
        <w:t> </w:t>
      </w:r>
      <w:r>
        <w:rPr>
          <w:vertAlign w:val="baseline"/>
        </w:rPr>
        <w:t>indeed</w:t>
      </w:r>
      <w:r>
        <w:rPr>
          <w:spacing w:val="16"/>
          <w:vertAlign w:val="baseline"/>
        </w:rPr>
        <w:t> </w:t>
      </w:r>
      <w:r>
        <w:rPr>
          <w:vertAlign w:val="baseline"/>
        </w:rPr>
        <w:t>no</w:t>
      </w:r>
      <w:r>
        <w:rPr>
          <w:spacing w:val="15"/>
          <w:vertAlign w:val="baseline"/>
        </w:rPr>
        <w:t> </w:t>
      </w:r>
      <w:r>
        <w:rPr>
          <w:vertAlign w:val="baseline"/>
        </w:rPr>
        <w:t>compliance</w:t>
      </w:r>
      <w:r>
        <w:rPr>
          <w:spacing w:val="18"/>
          <w:vertAlign w:val="baseline"/>
        </w:rPr>
        <w:t> </w:t>
      </w:r>
      <w:r>
        <w:rPr>
          <w:vertAlign w:val="baseline"/>
        </w:rPr>
        <w:t>with</w:t>
      </w:r>
      <w:r>
        <w:rPr>
          <w:spacing w:val="17"/>
          <w:vertAlign w:val="baseline"/>
        </w:rPr>
        <w:t> </w:t>
      </w:r>
      <w:r>
        <w:rPr>
          <w:vertAlign w:val="baseline"/>
        </w:rPr>
        <w:t>Rule</w:t>
      </w:r>
      <w:r>
        <w:rPr>
          <w:spacing w:val="-58"/>
          <w:vertAlign w:val="baseline"/>
        </w:rPr>
        <w:t> </w:t>
      </w:r>
      <w:r>
        <w:rPr>
          <w:vertAlign w:val="baseline"/>
        </w:rPr>
        <w:t>12 (5) (d) to the book, the breach is not fatal to the proceeding. Rules of the court are for</w:t>
      </w:r>
      <w:r>
        <w:rPr>
          <w:spacing w:val="1"/>
          <w:vertAlign w:val="baseline"/>
        </w:rPr>
        <w:t> </w:t>
      </w:r>
      <w:r>
        <w:rPr>
          <w:vertAlign w:val="baseline"/>
        </w:rPr>
        <w:t>standardisation. They are procedural law and must be adhered to. However. They cannot</w:t>
      </w:r>
      <w:r>
        <w:rPr>
          <w:spacing w:val="1"/>
          <w:vertAlign w:val="baseline"/>
        </w:rPr>
        <w:t> </w:t>
      </w:r>
      <w:r>
        <w:rPr>
          <w:vertAlign w:val="baseline"/>
        </w:rPr>
        <w:t>enslave the court. There is room for flexibility for the sake of justice, expediency and finality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litigation.</w:t>
      </w:r>
    </w:p>
    <w:p>
      <w:pPr>
        <w:spacing w:line="360" w:lineRule="auto" w:before="161"/>
        <w:ind w:left="100" w:right="118" w:firstLine="719"/>
        <w:jc w:val="both"/>
        <w:rPr>
          <w:i/>
          <w:sz w:val="24"/>
        </w:rPr>
      </w:pPr>
      <w:r>
        <w:rPr>
          <w:sz w:val="24"/>
        </w:rPr>
        <w:t>DUBE J commented in </w:t>
      </w:r>
      <w:r>
        <w:rPr>
          <w:i/>
          <w:sz w:val="24"/>
        </w:rPr>
        <w:t>Munyorovi v Sakonda HH467/2021 </w:t>
      </w:r>
      <w:r>
        <w:rPr>
          <w:sz w:val="24"/>
        </w:rPr>
        <w:t>that the rules are made for</w:t>
      </w:r>
      <w:r>
        <w:rPr>
          <w:spacing w:val="-57"/>
          <w:sz w:val="24"/>
        </w:rPr>
        <w:t> </w:t>
      </w:r>
      <w:r>
        <w:rPr>
          <w:sz w:val="24"/>
        </w:rPr>
        <w:t>the court and not the court for the rules as emphasised in the cases of </w:t>
      </w:r>
      <w:r>
        <w:rPr>
          <w:i/>
          <w:sz w:val="24"/>
        </w:rPr>
        <w:t>Chukura &amp; Anor v 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Sham’s Global BVI Ltd SC 17/17 </w:t>
      </w:r>
      <w:r>
        <w:rPr>
          <w:sz w:val="24"/>
        </w:rPr>
        <w:t>and </w:t>
      </w:r>
      <w:r>
        <w:rPr>
          <w:i/>
          <w:sz w:val="24"/>
        </w:rPr>
        <w:t>Watson v Gilson Enterprises (Pvt) Ltd 98 (1) ZLR 381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(SC).</w:t>
      </w:r>
    </w:p>
    <w:p>
      <w:pPr>
        <w:pStyle w:val="BodyText"/>
        <w:spacing w:before="159"/>
        <w:ind w:left="820"/>
        <w:jc w:val="both"/>
      </w:pPr>
      <w:r>
        <w:rPr/>
        <w:t>DUBE J</w:t>
      </w:r>
      <w:r>
        <w:rPr>
          <w:spacing w:val="5"/>
        </w:rPr>
        <w:t> </w:t>
      </w:r>
      <w:r>
        <w:rPr/>
        <w:t>proceeded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note that</w:t>
      </w:r>
      <w:r>
        <w:rPr>
          <w:spacing w:val="2"/>
        </w:rPr>
        <w:t> </w:t>
      </w:r>
      <w:r>
        <w:rPr/>
        <w:t>“It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the reason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rule 4C</w:t>
      </w:r>
      <w:r>
        <w:rPr>
          <w:spacing w:val="2"/>
        </w:rPr>
        <w:t> </w:t>
      </w:r>
      <w:r>
        <w:rPr/>
        <w:t>was</w:t>
      </w:r>
      <w:r>
        <w:rPr>
          <w:spacing w:val="1"/>
        </w:rPr>
        <w:t> </w:t>
      </w:r>
      <w:r>
        <w:rPr/>
        <w:t>included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rules.</w:t>
      </w:r>
    </w:p>
    <w:p>
      <w:pPr>
        <w:spacing w:before="139"/>
        <w:ind w:left="100" w:right="0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i/>
          <w:sz w:val="24"/>
        </w:rPr>
        <w:t>Nortery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Assurance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Co. Ltd v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Somndla 1960 (1)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SA 58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CA,i</w:t>
      </w:r>
      <w:r>
        <w:rPr>
          <w:sz w:val="24"/>
        </w:rPr>
        <w:t>t was noted;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820" w:right="116"/>
        <w:jc w:val="both"/>
      </w:pPr>
      <w:r>
        <w:rPr/>
        <w:t>“Once it is seen that the court has discretion, it seems to follow inescapably that it was</w:t>
      </w:r>
      <w:r>
        <w:rPr>
          <w:spacing w:val="-57"/>
        </w:rPr>
        <w:t> </w:t>
      </w:r>
      <w:r>
        <w:rPr/>
        <w:t>not intended that a breach of the rules relating to actions should necessarily be visited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nullity.”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suffices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buttress</w:t>
      </w:r>
      <w:r>
        <w:rPr>
          <w:spacing w:val="2"/>
        </w:rPr>
        <w:t> </w:t>
      </w:r>
      <w:r>
        <w:rPr/>
        <w:t>the point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noncompliance</w:t>
      </w:r>
      <w:r>
        <w:rPr>
          <w:spacing w:val="4"/>
        </w:rPr>
        <w:t> </w:t>
      </w:r>
      <w:r>
        <w:rPr/>
        <w:t>with</w:t>
      </w:r>
      <w:r>
        <w:rPr>
          <w:spacing w:val="2"/>
        </w:rPr>
        <w:t> </w:t>
      </w:r>
      <w:r>
        <w:rPr/>
        <w:t>rule (5)</w:t>
      </w:r>
    </w:p>
    <w:p>
      <w:pPr>
        <w:pStyle w:val="BodyText"/>
        <w:ind w:left="820"/>
        <w:jc w:val="both"/>
      </w:pPr>
      <w:r>
        <w:rPr/>
        <w:t>(d)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fatal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proceeding.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spacing w:line="362" w:lineRule="auto" w:before="0"/>
        <w:ind w:left="100" w:right="119" w:firstLine="719"/>
        <w:jc w:val="both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Mnangagwa v Alpha Media Holdings &amp; Anor 2013 (2) ZLR 116 (H), </w:t>
      </w:r>
      <w:r>
        <w:rPr>
          <w:sz w:val="24"/>
        </w:rPr>
        <w:t>it was stated</w:t>
      </w:r>
      <w:r>
        <w:rPr>
          <w:spacing w:val="1"/>
          <w:sz w:val="24"/>
        </w:rPr>
        <w:t> </w:t>
      </w:r>
      <w:r>
        <w:rPr>
          <w:sz w:val="24"/>
        </w:rPr>
        <w:t>as follows;</w:t>
      </w:r>
    </w:p>
    <w:p>
      <w:pPr>
        <w:pStyle w:val="BodyText"/>
        <w:spacing w:before="153"/>
        <w:ind w:left="820" w:right="122"/>
        <w:jc w:val="both"/>
      </w:pPr>
      <w:r>
        <w:rPr/>
        <w:t>“It is a first principle in dealing with exception that, if evidence can be led which can</w:t>
      </w:r>
      <w:r>
        <w:rPr>
          <w:spacing w:val="1"/>
        </w:rPr>
        <w:t> </w:t>
      </w:r>
      <w:r>
        <w:rPr/>
        <w:t>disclose the action in the pleading, (then) that particular pleading is not explicable on</w:t>
      </w:r>
      <w:r>
        <w:rPr>
          <w:spacing w:val="1"/>
        </w:rPr>
        <w:t> </w:t>
      </w:r>
      <w:r>
        <w:rPr/>
        <w:t>the basis that no possible evidence led on the pleadings can disclose a cause of action.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is the manner in which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approach this court”.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90"/>
        <w:ind w:left="820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i/>
          <w:sz w:val="24"/>
        </w:rPr>
        <w:t>Mpoko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Anor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Nanavac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Investments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Ord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HB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209/2022</w:t>
      </w:r>
      <w:r>
        <w:rPr>
          <w:sz w:val="24"/>
        </w:rPr>
        <w:t>,</w:t>
      </w:r>
      <w:r>
        <w:rPr>
          <w:spacing w:val="32"/>
          <w:sz w:val="24"/>
        </w:rPr>
        <w:t> </w:t>
      </w:r>
      <w:r>
        <w:rPr>
          <w:sz w:val="24"/>
        </w:rPr>
        <w:t>Makonese</w:t>
      </w:r>
      <w:r>
        <w:rPr>
          <w:spacing w:val="32"/>
          <w:sz w:val="24"/>
        </w:rPr>
        <w:t> </w:t>
      </w:r>
      <w:r>
        <w:rPr>
          <w:sz w:val="24"/>
        </w:rPr>
        <w:t>J</w:t>
      </w:r>
      <w:r>
        <w:rPr>
          <w:spacing w:val="34"/>
          <w:sz w:val="24"/>
        </w:rPr>
        <w:t> </w:t>
      </w:r>
      <w:r>
        <w:rPr>
          <w:sz w:val="24"/>
        </w:rPr>
        <w:t>noted</w:t>
      </w:r>
    </w:p>
    <w:p>
      <w:pPr>
        <w:pStyle w:val="BodyText"/>
        <w:spacing w:before="139"/>
        <w:ind w:left="100"/>
      </w:pPr>
      <w:r>
        <w:rPr/>
        <w:t>that;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0"/>
        <w:ind w:left="820"/>
      </w:pPr>
      <w:r>
        <w:rPr/>
        <w:t>“……An</w:t>
      </w:r>
      <w:r>
        <w:rPr>
          <w:spacing w:val="19"/>
        </w:rPr>
        <w:t> </w:t>
      </w:r>
      <w:r>
        <w:rPr/>
        <w:t>exception</w:t>
      </w:r>
      <w:r>
        <w:rPr>
          <w:spacing w:val="21"/>
        </w:rPr>
        <w:t> </w:t>
      </w:r>
      <w:r>
        <w:rPr/>
        <w:t>based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lack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cause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action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plaintiff</w:t>
      </w:r>
      <w:r>
        <w:rPr>
          <w:spacing w:val="20"/>
        </w:rPr>
        <w:t> </w:t>
      </w:r>
      <w:r>
        <w:rPr/>
        <w:t>claims</w:t>
      </w:r>
      <w:r>
        <w:rPr>
          <w:spacing w:val="21"/>
        </w:rPr>
        <w:t> </w:t>
      </w:r>
      <w:r>
        <w:rPr/>
        <w:t>must</w:t>
      </w:r>
      <w:r>
        <w:rPr>
          <w:spacing w:val="-57"/>
        </w:rPr>
        <w:t> </w:t>
      </w:r>
      <w:r>
        <w:rPr/>
        <w:t>establish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facts</w:t>
      </w:r>
      <w:r>
        <w:rPr>
          <w:spacing w:val="-1"/>
        </w:rPr>
        <w:t> </w:t>
      </w:r>
      <w:r>
        <w:rPr/>
        <w:t>pleaded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sustained</w:t>
      </w:r>
      <w:r>
        <w:rPr>
          <w:spacing w:val="3"/>
        </w:rPr>
        <w:t> </w:t>
      </w:r>
      <w:r>
        <w:rPr/>
        <w:t>even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is led!”</w:t>
      </w:r>
    </w:p>
    <w:p>
      <w:pPr>
        <w:spacing w:after="0"/>
        <w:sectPr>
          <w:pgSz w:w="11910" w:h="16840"/>
          <w:pgMar w:header="749" w:footer="0" w:top="1760" w:bottom="280" w:left="1340" w:right="1320"/>
        </w:sectPr>
      </w:pPr>
    </w:p>
    <w:p>
      <w:pPr>
        <w:pStyle w:val="BodyText"/>
        <w:spacing w:before="5"/>
        <w:rPr>
          <w:sz w:val="15"/>
        </w:rPr>
      </w:pPr>
    </w:p>
    <w:p>
      <w:pPr>
        <w:spacing w:line="360" w:lineRule="auto" w:before="90"/>
        <w:ind w:left="100" w:right="115" w:firstLine="719"/>
        <w:jc w:val="both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Warehousing and Sales CC v Bowsink Investments CC 2000 (3) SA 833 at 834</w:t>
      </w:r>
      <w:r>
        <w:rPr>
          <w:sz w:val="24"/>
        </w:rPr>
        <w:t>,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stated:</w:t>
      </w:r>
    </w:p>
    <w:p>
      <w:pPr>
        <w:pStyle w:val="BodyText"/>
        <w:spacing w:before="159"/>
        <w:ind w:left="820" w:right="121"/>
        <w:jc w:val="both"/>
      </w:pPr>
      <w:r>
        <w:rPr/>
        <w:t>“The test to be applied in determining an</w:t>
      </w:r>
      <w:r>
        <w:rPr>
          <w:spacing w:val="60"/>
        </w:rPr>
        <w:t> </w:t>
      </w:r>
      <w:r>
        <w:rPr/>
        <w:t>exception is as follows: The excipient has</w:t>
      </w:r>
      <w:r>
        <w:rPr>
          <w:spacing w:val="1"/>
        </w:rPr>
        <w:t> </w:t>
      </w:r>
      <w:r>
        <w:rPr/>
        <w:t>the duty to persuade the court that upon every interpretation which the pleading in</w:t>
      </w:r>
      <w:r>
        <w:rPr>
          <w:spacing w:val="1"/>
        </w:rPr>
        <w:t> </w:t>
      </w:r>
      <w:r>
        <w:rPr/>
        <w:t>question, and in particular any document on which it is based, could bear no cause of</w:t>
      </w:r>
      <w:r>
        <w:rPr>
          <w:spacing w:val="1"/>
        </w:rPr>
        <w:t> </w:t>
      </w:r>
      <w:r>
        <w:rPr/>
        <w:t>action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defence, failing this,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exception had to be dismissed.”</w:t>
      </w:r>
    </w:p>
    <w:p>
      <w:pPr>
        <w:pStyle w:val="BodyText"/>
        <w:spacing w:line="360" w:lineRule="auto" w:before="163"/>
        <w:ind w:left="100" w:right="117" w:firstLine="719"/>
        <w:jc w:val="both"/>
      </w:pPr>
      <w:r>
        <w:rPr/>
        <w:t>In a nutshell, as extrapolated above since it is common cause that a summons is not</w:t>
      </w:r>
      <w:r>
        <w:rPr>
          <w:spacing w:val="1"/>
        </w:rPr>
        <w:t> </w:t>
      </w:r>
      <w:r>
        <w:rPr/>
        <w:t>supposed to stand as a standalone but hand in hand with the declaration, the applicant has</w:t>
      </w:r>
      <w:r>
        <w:rPr>
          <w:spacing w:val="1"/>
        </w:rPr>
        <w:t> </w:t>
      </w:r>
      <w:r>
        <w:rPr/>
        <w:t>failed</w:t>
      </w:r>
      <w:r>
        <w:rPr>
          <w:spacing w:val="-1"/>
        </w:rPr>
        <w:t> </w:t>
      </w:r>
      <w:r>
        <w:rPr/>
        <w:t>the test in the</w:t>
      </w:r>
      <w:r>
        <w:rPr>
          <w:spacing w:val="2"/>
        </w:rPr>
        <w:t> </w:t>
      </w:r>
      <w:r>
        <w:rPr>
          <w:i/>
        </w:rPr>
        <w:t>Warehousing </w:t>
      </w:r>
      <w:r>
        <w:rPr/>
        <w:t>case</w:t>
      </w:r>
      <w:r>
        <w:rPr>
          <w:spacing w:val="1"/>
        </w:rPr>
        <w:t> </w:t>
      </w:r>
      <w:r>
        <w:rPr/>
        <w:t>above.</w:t>
      </w:r>
    </w:p>
    <w:p>
      <w:pPr>
        <w:pStyle w:val="BodyText"/>
        <w:spacing w:line="360" w:lineRule="auto" w:before="160"/>
        <w:ind w:left="100" w:right="115" w:firstLine="719"/>
        <w:jc w:val="both"/>
      </w:pPr>
      <w:r>
        <w:rPr/>
        <w:t>Further, this court sees no prejudice if the 1</w:t>
      </w:r>
      <w:r>
        <w:rPr>
          <w:vertAlign w:val="superscript"/>
        </w:rPr>
        <w:t>st</w:t>
      </w:r>
      <w:r>
        <w:rPr>
          <w:vertAlign w:val="baseline"/>
        </w:rPr>
        <w:t> respondent is allowed to amend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summons. In </w:t>
      </w:r>
      <w:r>
        <w:rPr>
          <w:i/>
          <w:vertAlign w:val="baseline"/>
        </w:rPr>
        <w:t>Chimakure &amp; Anor v Mutambara &amp; Anor SC91/20 </w:t>
      </w:r>
      <w:r>
        <w:rPr>
          <w:vertAlign w:val="baseline"/>
        </w:rPr>
        <w:t>it was highlighted that, “the</w:t>
      </w:r>
      <w:r>
        <w:rPr>
          <w:spacing w:val="1"/>
          <w:vertAlign w:val="baseline"/>
        </w:rPr>
        <w:t> </w:t>
      </w:r>
      <w:r>
        <w:rPr>
          <w:vertAlign w:val="baseline"/>
        </w:rPr>
        <w:t>ultimate test as to whether or not an exception should be upheld is whether the excipient is</w:t>
      </w:r>
      <w:r>
        <w:rPr>
          <w:spacing w:val="1"/>
          <w:vertAlign w:val="baseline"/>
        </w:rPr>
        <w:t> </w:t>
      </w:r>
      <w:r>
        <w:rPr>
          <w:vertAlign w:val="baseline"/>
        </w:rPr>
        <w:t>prejudiced”.</w:t>
      </w:r>
    </w:p>
    <w:p>
      <w:pPr>
        <w:spacing w:line="362" w:lineRule="auto" w:before="159"/>
        <w:ind w:left="100" w:right="116" w:firstLine="719"/>
        <w:jc w:val="both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Trebo &amp; Khays (Pvt) Ltd &amp; Ors v Deposit Protection Corporation HH354/18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5 it was observed that;</w:t>
      </w:r>
    </w:p>
    <w:p>
      <w:pPr>
        <w:pStyle w:val="BodyText"/>
        <w:spacing w:before="153"/>
        <w:ind w:left="820" w:right="114"/>
        <w:jc w:val="both"/>
      </w:pPr>
      <w:r>
        <w:rPr/>
        <w:t>“If the exception is allowed the court will usually give the respondents an opportunity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file an amended pleading</w:t>
      </w:r>
      <w:r>
        <w:rPr>
          <w:spacing w:val="-3"/>
        </w:rPr>
        <w:t> </w:t>
      </w:r>
      <w:r>
        <w:rPr/>
        <w:t>within a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time”.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100" w:right="116" w:firstLine="719"/>
        <w:jc w:val="both"/>
      </w:pPr>
      <w:r>
        <w:rPr/>
        <w:t>These two authorities are clear examples as to the general approach by the courts. If</w:t>
      </w:r>
      <w:r>
        <w:rPr>
          <w:spacing w:val="1"/>
        </w:rPr>
        <w:t> </w:t>
      </w:r>
      <w:r>
        <w:rPr/>
        <w:t>prejudice has not been pleaded and established by the excipient, then the summons stand and</w:t>
      </w:r>
      <w:r>
        <w:rPr>
          <w:spacing w:val="1"/>
        </w:rPr>
        <w:t> </w:t>
      </w:r>
      <w:r>
        <w:rPr/>
        <w:t>exception will not be an option. If indeed there is need to rectify the mistake “amendment” is</w:t>
      </w:r>
      <w:r>
        <w:rPr>
          <w:spacing w:val="1"/>
        </w:rPr>
        <w:t> </w:t>
      </w:r>
      <w:r>
        <w:rPr/>
        <w:t>the recourse advocated for and spelt out in Rule 42 of the High Court Rules and the above</w:t>
      </w:r>
      <w:r>
        <w:rPr>
          <w:spacing w:val="1"/>
        </w:rPr>
        <w:t> </w:t>
      </w:r>
      <w:r>
        <w:rPr/>
        <w:t>cited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authorities.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-57"/>
        </w:rPr>
        <w:t> </w:t>
      </w:r>
      <w:r>
        <w:rPr/>
        <w:t>summons</w:t>
      </w:r>
      <w:r>
        <w:rPr>
          <w:spacing w:val="-1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 striking</w:t>
      </w:r>
      <w:r>
        <w:rPr>
          <w:spacing w:val="-2"/>
        </w:rPr>
        <w:t> </w:t>
      </w:r>
      <w:r>
        <w:rPr/>
        <w:t>them</w:t>
      </w:r>
      <w:r>
        <w:rPr>
          <w:spacing w:val="1"/>
        </w:rPr>
        <w:t> </w:t>
      </w:r>
      <w:r>
        <w:rPr/>
        <w:t>off.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>
          <w:i/>
        </w:rPr>
        <w:t>Trebo</w:t>
      </w:r>
      <w:r>
        <w:rPr>
          <w:i/>
          <w:spacing w:val="2"/>
        </w:rPr>
        <w:t> </w:t>
      </w:r>
      <w:r>
        <w:rPr>
          <w:i/>
        </w:rPr>
        <w:t>v</w:t>
      </w:r>
      <w:r>
        <w:rPr>
          <w:i/>
          <w:spacing w:val="-1"/>
        </w:rPr>
        <w:t> </w:t>
      </w:r>
      <w:r>
        <w:rPr>
          <w:i/>
        </w:rPr>
        <w:t>Khays </w:t>
      </w:r>
      <w:r>
        <w:rPr/>
        <w:t>above.</w:t>
      </w:r>
    </w:p>
    <w:p>
      <w:pPr>
        <w:pStyle w:val="BodyText"/>
        <w:spacing w:line="360" w:lineRule="auto" w:before="161"/>
        <w:ind w:left="100" w:right="117" w:firstLine="719"/>
        <w:jc w:val="both"/>
      </w:pPr>
      <w:r>
        <w:rPr/>
        <w:t>Having examined the above, the court agrees with the 1</w:t>
      </w:r>
      <w:r>
        <w:rPr>
          <w:vertAlign w:val="superscript"/>
        </w:rPr>
        <w:t>st</w:t>
      </w:r>
      <w:r>
        <w:rPr>
          <w:vertAlign w:val="baseline"/>
        </w:rPr>
        <w:t> respondent, that Rule 42</w:t>
      </w:r>
      <w:r>
        <w:rPr>
          <w:spacing w:val="1"/>
          <w:vertAlign w:val="baseline"/>
        </w:rPr>
        <w:t> </w:t>
      </w:r>
      <w:r>
        <w:rPr>
          <w:vertAlign w:val="baseline"/>
        </w:rPr>
        <w:t>amply covers the subject at hand. It addresses the need for the court to call for amendment to</w:t>
      </w:r>
      <w:r>
        <w:rPr>
          <w:spacing w:val="1"/>
          <w:vertAlign w:val="baseline"/>
        </w:rPr>
        <w:t> </w:t>
      </w:r>
      <w:r>
        <w:rPr>
          <w:vertAlign w:val="baseline"/>
        </w:rPr>
        <w:t>the summons if need be, coupled with the issue of prejudice. I need not elaborate on all the</w:t>
      </w:r>
      <w:r>
        <w:rPr>
          <w:spacing w:val="1"/>
          <w:vertAlign w:val="baseline"/>
        </w:rPr>
        <w:t> </w:t>
      </w:r>
      <w:r>
        <w:rPr>
          <w:vertAlign w:val="baseline"/>
        </w:rPr>
        <w:t>elements</w:t>
      </w:r>
      <w:r>
        <w:rPr>
          <w:spacing w:val="-1"/>
          <w:vertAlign w:val="baseline"/>
        </w:rPr>
        <w:t> </w:t>
      </w:r>
      <w:r>
        <w:rPr>
          <w:vertAlign w:val="baseline"/>
        </w:rPr>
        <w:t>of that rule which is</w:t>
      </w:r>
      <w:r>
        <w:rPr>
          <w:spacing w:val="1"/>
          <w:vertAlign w:val="baseline"/>
        </w:rPr>
        <w:t> </w:t>
      </w:r>
      <w:r>
        <w:rPr>
          <w:vertAlign w:val="baseline"/>
        </w:rPr>
        <w:t>self-explanatory.</w:t>
      </w:r>
    </w:p>
    <w:p>
      <w:pPr>
        <w:pStyle w:val="BodyText"/>
        <w:spacing w:line="360" w:lineRule="auto" w:before="161"/>
        <w:ind w:left="100" w:right="116" w:firstLine="719"/>
        <w:jc w:val="both"/>
      </w:pPr>
      <w:r>
        <w:rPr/>
        <w:t>In view of the above observations, the court is mindful of the glaring shortcomings of</w:t>
      </w:r>
      <w:r>
        <w:rPr>
          <w:spacing w:val="1"/>
        </w:rPr>
        <w:t> </w:t>
      </w:r>
      <w:r>
        <w:rPr/>
        <w:t>the applicant‟s exception </w:t>
      </w:r>
      <w:r>
        <w:rPr>
          <w:i/>
        </w:rPr>
        <w:t>viz a viz </w:t>
      </w:r>
      <w:r>
        <w:rPr/>
        <w:t>Rule 42 of the High Court Rules. They in turn did not</w:t>
      </w:r>
      <w:r>
        <w:rPr>
          <w:spacing w:val="1"/>
        </w:rPr>
        <w:t> </w:t>
      </w:r>
      <w:r>
        <w:rPr/>
        <w:t>comply with the 12-day period which enables the 1</w:t>
      </w:r>
      <w:r>
        <w:rPr>
          <w:vertAlign w:val="superscript"/>
        </w:rPr>
        <w:t>st</w:t>
      </w:r>
      <w:r>
        <w:rPr>
          <w:vertAlign w:val="baseline"/>
        </w:rPr>
        <w:t> respondent to rectify and amend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summons</w:t>
      </w:r>
      <w:r>
        <w:rPr>
          <w:spacing w:val="30"/>
          <w:vertAlign w:val="baseline"/>
        </w:rPr>
        <w:t> </w:t>
      </w:r>
      <w:r>
        <w:rPr>
          <w:vertAlign w:val="baseline"/>
        </w:rPr>
        <w:t>before</w:t>
      </w:r>
      <w:r>
        <w:rPr>
          <w:spacing w:val="32"/>
          <w:vertAlign w:val="baseline"/>
        </w:rPr>
        <w:t> </w:t>
      </w:r>
      <w:r>
        <w:rPr>
          <w:vertAlign w:val="baseline"/>
        </w:rPr>
        <w:t>filing</w:t>
      </w:r>
      <w:r>
        <w:rPr>
          <w:spacing w:val="29"/>
          <w:vertAlign w:val="baseline"/>
        </w:rPr>
        <w:t> </w:t>
      </w:r>
      <w:r>
        <w:rPr>
          <w:vertAlign w:val="baseline"/>
        </w:rPr>
        <w:t>their</w:t>
      </w:r>
      <w:r>
        <w:rPr>
          <w:spacing w:val="30"/>
          <w:vertAlign w:val="baseline"/>
        </w:rPr>
        <w:t> </w:t>
      </w:r>
      <w:r>
        <w:rPr>
          <w:vertAlign w:val="baseline"/>
        </w:rPr>
        <w:t>exception.</w:t>
      </w:r>
      <w:r>
        <w:rPr>
          <w:spacing w:val="34"/>
          <w:vertAlign w:val="baseline"/>
        </w:rPr>
        <w:t> </w:t>
      </w:r>
      <w:r>
        <w:rPr>
          <w:vertAlign w:val="baseline"/>
        </w:rPr>
        <w:t>They</w:t>
      </w:r>
      <w:r>
        <w:rPr>
          <w:spacing w:val="28"/>
          <w:vertAlign w:val="baseline"/>
        </w:rPr>
        <w:t> </w:t>
      </w:r>
      <w:r>
        <w:rPr>
          <w:vertAlign w:val="baseline"/>
        </w:rPr>
        <w:t>also</w:t>
      </w:r>
      <w:r>
        <w:rPr>
          <w:spacing w:val="30"/>
          <w:vertAlign w:val="baseline"/>
        </w:rPr>
        <w:t> </w:t>
      </w:r>
      <w:r>
        <w:rPr>
          <w:vertAlign w:val="baseline"/>
        </w:rPr>
        <w:t>prematurely</w:t>
      </w:r>
      <w:r>
        <w:rPr>
          <w:spacing w:val="28"/>
          <w:vertAlign w:val="baseline"/>
        </w:rPr>
        <w:t> </w:t>
      </w:r>
      <w:r>
        <w:rPr>
          <w:vertAlign w:val="baseline"/>
        </w:rPr>
        <w:t>set</w:t>
      </w:r>
      <w:r>
        <w:rPr>
          <w:spacing w:val="31"/>
          <w:vertAlign w:val="baseline"/>
        </w:rPr>
        <w:t> </w:t>
      </w:r>
      <w:r>
        <w:rPr>
          <w:vertAlign w:val="baseline"/>
        </w:rPr>
        <w:t>the</w:t>
      </w:r>
      <w:r>
        <w:rPr>
          <w:spacing w:val="32"/>
          <w:vertAlign w:val="baseline"/>
        </w:rPr>
        <w:t> </w:t>
      </w:r>
      <w:r>
        <w:rPr>
          <w:vertAlign w:val="baseline"/>
        </w:rPr>
        <w:t>exception</w:t>
      </w:r>
      <w:r>
        <w:rPr>
          <w:spacing w:val="30"/>
          <w:vertAlign w:val="baseline"/>
        </w:rPr>
        <w:t> </w:t>
      </w:r>
      <w:r>
        <w:rPr>
          <w:vertAlign w:val="baseline"/>
        </w:rPr>
        <w:t>before</w:t>
      </w:r>
      <w:r>
        <w:rPr>
          <w:spacing w:val="28"/>
          <w:vertAlign w:val="baseline"/>
        </w:rPr>
        <w:t> </w:t>
      </w:r>
      <w:r>
        <w:rPr>
          <w:vertAlign w:val="baseline"/>
        </w:rPr>
        <w:t>the</w:t>
      </w:r>
    </w:p>
    <w:p>
      <w:pPr>
        <w:spacing w:after="0" w:line="360" w:lineRule="auto"/>
        <w:jc w:val="both"/>
        <w:sectPr>
          <w:pgSz w:w="11910" w:h="16840"/>
          <w:pgMar w:header="749" w:footer="0" w:top="1760" w:bottom="280" w:left="1340" w:right="13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60" w:lineRule="auto" w:before="90"/>
        <w:ind w:left="100" w:right="114"/>
        <w:jc w:val="both"/>
      </w:pPr>
      <w:r>
        <w:rPr/>
        <w:t>expiration of the 12-day period. They too were in breach of this court‟s rules. This will in a</w:t>
      </w:r>
      <w:r>
        <w:rPr>
          <w:spacing w:val="1"/>
        </w:rPr>
        <w:t> </w:t>
      </w:r>
      <w:r>
        <w:rPr/>
        <w:t>way still have incapacitated their exception. Both parties did not strictly adhere to the rules.</w:t>
      </w:r>
      <w:r>
        <w:rPr>
          <w:spacing w:val="1"/>
        </w:rPr>
        <w:t> </w:t>
      </w:r>
      <w:r>
        <w:rPr/>
        <w:t>They are in </w:t>
      </w:r>
      <w:r>
        <w:rPr>
          <w:i/>
        </w:rPr>
        <w:t>pari delicto</w:t>
      </w:r>
      <w:r>
        <w:rPr/>
        <w:t>, so to say. Two wrongs do not make a right though. However, this is</w:t>
      </w:r>
      <w:r>
        <w:rPr>
          <w:spacing w:val="1"/>
        </w:rPr>
        <w:t> </w:t>
      </w:r>
      <w:r>
        <w:rPr/>
        <w:t>water under the bridge as a finding has already been made on the merits that the exception</w:t>
      </w:r>
      <w:r>
        <w:rPr>
          <w:spacing w:val="1"/>
        </w:rPr>
        <w:t> </w:t>
      </w:r>
      <w:r>
        <w:rPr/>
        <w:t>fails.</w:t>
      </w:r>
    </w:p>
    <w:p>
      <w:pPr>
        <w:pStyle w:val="BodyText"/>
        <w:spacing w:line="360" w:lineRule="auto" w:before="162"/>
        <w:ind w:left="100" w:right="114" w:firstLine="719"/>
        <w:jc w:val="both"/>
      </w:pPr>
      <w:r>
        <w:rPr/>
        <w:t>There is no justification in imposing punitive costs. Each party has the right to contest</w:t>
      </w:r>
      <w:r>
        <w:rPr>
          <w:spacing w:val="-57"/>
        </w:rPr>
        <w:t> </w:t>
      </w:r>
      <w:r>
        <w:rPr/>
        <w:t>their positions in court. However, shoddy drafting is not encouraged. Respondent will thus be</w:t>
      </w:r>
      <w:r>
        <w:rPr>
          <w:spacing w:val="-57"/>
        </w:rPr>
        <w:t> </w:t>
      </w:r>
      <w:r>
        <w:rPr/>
        <w:t>visited</w:t>
      </w:r>
      <w:r>
        <w:rPr>
          <w:spacing w:val="-1"/>
        </w:rPr>
        <w:t> </w:t>
      </w:r>
      <w:r>
        <w:rPr/>
        <w:t>with costs on the</w:t>
      </w:r>
      <w:r>
        <w:rPr>
          <w:spacing w:val="-1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scale.</w:t>
      </w:r>
    </w:p>
    <w:p>
      <w:pPr>
        <w:pStyle w:val="BodyText"/>
        <w:spacing w:before="161"/>
        <w:ind w:left="100"/>
      </w:pPr>
      <w:r>
        <w:rPr>
          <w:u w:val="single"/>
        </w:rPr>
        <w:t>Disposition</w:t>
      </w:r>
    </w:p>
    <w:p>
      <w:pPr>
        <w:pStyle w:val="BodyText"/>
        <w:rPr>
          <w:sz w:val="18"/>
        </w:rPr>
      </w:pPr>
    </w:p>
    <w:p>
      <w:pPr>
        <w:pStyle w:val="BodyText"/>
        <w:spacing w:line="360" w:lineRule="auto" w:before="90"/>
        <w:ind w:left="100" w:right="116" w:firstLine="719"/>
        <w:jc w:val="both"/>
      </w:pPr>
      <w:r>
        <w:rPr/>
        <w:t>The apparent defect on the face of the summons has been cured by the declaration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succinctly</w:t>
      </w:r>
      <w:r>
        <w:rPr>
          <w:spacing w:val="1"/>
        </w:rPr>
        <w:t> </w:t>
      </w:r>
      <w:r>
        <w:rPr/>
        <w:t>outlines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action.</w:t>
      </w:r>
      <w:r>
        <w:rPr>
          <w:spacing w:val="1"/>
        </w:rPr>
        <w:t> </w:t>
      </w:r>
      <w:r>
        <w:rPr/>
        <w:t>Ordinarily,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summons</w:t>
      </w:r>
      <w:r>
        <w:rPr>
          <w:spacing w:val="60"/>
        </w:rPr>
        <w:t> </w:t>
      </w:r>
      <w:r>
        <w:rPr/>
        <w:t>should</w:t>
      </w:r>
      <w:r>
        <w:rPr>
          <w:spacing w:val="1"/>
        </w:rPr>
        <w:t> </w:t>
      </w:r>
      <w:r>
        <w:rPr/>
        <w:t>disclose the precise and concise cause of action which is then elaborated and or developed, in</w:t>
      </w:r>
      <w:r>
        <w:rPr>
          <w:spacing w:val="1"/>
        </w:rPr>
        <w:t> </w:t>
      </w:r>
      <w:r>
        <w:rPr/>
        <w:t>the declaration. However, there is no prejudice on the applicant as both documents which</w:t>
      </w:r>
      <w:r>
        <w:rPr>
          <w:spacing w:val="1"/>
        </w:rPr>
        <w:t> </w:t>
      </w:r>
      <w:r>
        <w:rPr/>
        <w:t>stand</w:t>
      </w:r>
      <w:r>
        <w:rPr>
          <w:spacing w:val="-1"/>
        </w:rPr>
        <w:t> </w:t>
      </w:r>
      <w:r>
        <w:rPr/>
        <w:t>in combination do</w:t>
      </w:r>
      <w:r>
        <w:rPr>
          <w:spacing w:val="-1"/>
        </w:rPr>
        <w:t> </w:t>
      </w:r>
      <w:r>
        <w:rPr/>
        <w:t>disclose a</w:t>
      </w:r>
      <w:r>
        <w:rPr>
          <w:spacing w:val="-2"/>
        </w:rPr>
        <w:t> </w:t>
      </w:r>
      <w:r>
        <w:rPr/>
        <w:t>cause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action at no</w:t>
      </w:r>
      <w:r>
        <w:rPr>
          <w:spacing w:val="-1"/>
        </w:rPr>
        <w:t> </w:t>
      </w:r>
      <w:r>
        <w:rPr/>
        <w:t>prejudice</w:t>
      </w:r>
      <w:r>
        <w:rPr>
          <w:spacing w:val="-1"/>
        </w:rPr>
        <w:t> </w:t>
      </w:r>
      <w:r>
        <w:rPr/>
        <w:t>on the</w:t>
      </w:r>
      <w:r>
        <w:rPr>
          <w:spacing w:val="1"/>
        </w:rPr>
        <w:t> </w:t>
      </w:r>
      <w:r>
        <w:rPr/>
        <w:t>applicant.</w:t>
      </w:r>
    </w:p>
    <w:p>
      <w:pPr>
        <w:pStyle w:val="BodyText"/>
        <w:spacing w:before="160"/>
        <w:ind w:left="820"/>
        <w:jc w:val="both"/>
      </w:pPr>
      <w:r>
        <w:rPr/>
        <w:t>Resultantly,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ordered that: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application is</w:t>
      </w:r>
      <w:r>
        <w:rPr>
          <w:spacing w:val="-1"/>
          <w:sz w:val="24"/>
        </w:rPr>
        <w:t> </w:t>
      </w:r>
      <w:r>
        <w:rPr>
          <w:sz w:val="24"/>
        </w:rPr>
        <w:t>dismissed.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139" w:after="0"/>
        <w:ind w:left="118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respondent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pays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cost of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suit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at 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ordinary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scale.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5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Bherebhende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Chambers 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Applicant.</w:t>
      </w:r>
    </w:p>
    <w:p>
      <w:pPr>
        <w:spacing w:before="161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Mutandiro,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Chitsanga,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Chitima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Attorneys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</w:t>
      </w:r>
      <w:r>
        <w:rPr>
          <w:i/>
          <w:sz w:val="24"/>
          <w:vertAlign w:val="superscript"/>
        </w:rPr>
        <w:t>st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Respondent.</w:t>
      </w:r>
    </w:p>
    <w:sectPr>
      <w:pgSz w:w="11910" w:h="16840"/>
      <w:pgMar w:header="749" w:footer="0" w:top="17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100006pt;margin-top:36.439983pt;width:107.45pt;height:53.4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0"/>
                  <w:ind w:left="1071" w:right="58" w:firstLine="112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HCC28/24</w:t>
                </w:r>
                <w:r>
                  <w:rPr>
                    <w:rFonts w:ascii="Calibri"/>
                    <w:spacing w:val="-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HCC221/23</w:t>
                </w:r>
              </w:p>
              <w:p>
                <w:pPr>
                  <w:spacing w:before="1"/>
                  <w:ind w:left="0" w:right="60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REF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CASE: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HCC35/2023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Muzofa Phildah</dc:creator>
  <dcterms:created xsi:type="dcterms:W3CDTF">2024-03-20T06:55:51Z</dcterms:created>
  <dcterms:modified xsi:type="dcterms:W3CDTF">2024-03-20T06:55:51Z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</Properties>
</file>